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61AF2" w14:textId="77777777" w:rsidR="005D6C89" w:rsidRDefault="005D6C89" w:rsidP="009C4A0D">
      <w:pPr>
        <w:spacing w:line="240" w:lineRule="auto"/>
        <w:jc w:val="center"/>
        <w:rPr>
          <w:b/>
        </w:rPr>
      </w:pPr>
      <w:r>
        <w:rPr>
          <w:b/>
        </w:rPr>
        <w:t>UNITED STATES DISTRICT COURT</w:t>
      </w:r>
    </w:p>
    <w:p w14:paraId="7134B151" w14:textId="77777777" w:rsidR="005D6C89" w:rsidRDefault="005D6C89" w:rsidP="009C4A0D">
      <w:pPr>
        <w:spacing w:line="240" w:lineRule="auto"/>
        <w:jc w:val="center"/>
      </w:pPr>
      <w:r>
        <w:rPr>
          <w:b/>
        </w:rPr>
        <w:t>FOR THE DISTRICT OF MOOT</w:t>
      </w:r>
    </w:p>
    <w:p w14:paraId="0D8376ED" w14:textId="77777777" w:rsidR="005D6C89" w:rsidRDefault="00E55795" w:rsidP="009C4A0D">
      <w:pPr>
        <w:spacing w:line="240" w:lineRule="auto"/>
        <w:jc w:val="center"/>
      </w:pPr>
      <w:r>
        <w:t>______________________________________________________________________________</w:t>
      </w:r>
    </w:p>
    <w:p w14:paraId="07761760" w14:textId="77777777" w:rsidR="006712D7" w:rsidRDefault="006712D7" w:rsidP="009C4A0D">
      <w:pPr>
        <w:spacing w:line="240" w:lineRule="auto"/>
        <w:jc w:val="center"/>
        <w:sectPr w:rsidR="006712D7" w:rsidSect="00F9093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14:paraId="586B76F8" w14:textId="77777777" w:rsidR="005D6C89" w:rsidRDefault="005D6C89" w:rsidP="009C4A0D">
      <w:pPr>
        <w:spacing w:line="240" w:lineRule="auto"/>
        <w:jc w:val="center"/>
      </w:pPr>
    </w:p>
    <w:p w14:paraId="2DBFF1AB" w14:textId="77777777" w:rsidR="006712D7" w:rsidRDefault="006712D7" w:rsidP="009C4A0D">
      <w:pPr>
        <w:spacing w:line="240" w:lineRule="auto"/>
        <w:sectPr w:rsidR="006712D7" w:rsidSect="006712D7">
          <w:type w:val="continuous"/>
          <w:pgSz w:w="12240" w:h="15840"/>
          <w:pgMar w:top="1440" w:right="1440" w:bottom="1440" w:left="1440" w:header="720" w:footer="720" w:gutter="0"/>
          <w:cols w:num="2" w:space="720"/>
          <w:docGrid w:linePitch="360"/>
        </w:sectPr>
      </w:pPr>
    </w:p>
    <w:p w14:paraId="37A70457" w14:textId="77777777" w:rsidR="00035FCD" w:rsidRDefault="00E3738B" w:rsidP="009C4A0D">
      <w:pPr>
        <w:spacing w:line="240" w:lineRule="auto"/>
      </w:pPr>
      <w:r>
        <w:lastRenderedPageBreak/>
        <w:t>O</w:t>
      </w:r>
      <w:r w:rsidR="00F83ECC">
        <w:t>GS TV, Inc</w:t>
      </w:r>
      <w:r>
        <w:t>.</w:t>
      </w:r>
    </w:p>
    <w:p w14:paraId="1D5E4191" w14:textId="77777777" w:rsidR="006712D7" w:rsidRDefault="006712D7" w:rsidP="009C4A0D">
      <w:pPr>
        <w:spacing w:line="240" w:lineRule="auto"/>
        <w:ind w:left="1440" w:firstLine="720"/>
      </w:pPr>
    </w:p>
    <w:p w14:paraId="440627D9" w14:textId="77777777" w:rsidR="005D6C89" w:rsidRDefault="006712D7" w:rsidP="009C4A0D">
      <w:pPr>
        <w:spacing w:line="240" w:lineRule="auto"/>
        <w:ind w:left="1440" w:firstLine="720"/>
      </w:pPr>
      <w:r>
        <w:t>P</w:t>
      </w:r>
      <w:r w:rsidR="00035FCD">
        <w:t>laint</w:t>
      </w:r>
      <w:r>
        <w:t>iff</w:t>
      </w:r>
      <w:r w:rsidR="00E3738B">
        <w:t>,</w:t>
      </w:r>
      <w:r>
        <w:t xml:space="preserve">                            </w:t>
      </w:r>
    </w:p>
    <w:p w14:paraId="3B33974F" w14:textId="77777777" w:rsidR="00035FCD" w:rsidRDefault="00035FCD" w:rsidP="009C4A0D">
      <w:pPr>
        <w:spacing w:line="240" w:lineRule="auto"/>
      </w:pPr>
      <w:r>
        <w:t xml:space="preserve">                                              </w:t>
      </w:r>
      <w:r w:rsidR="006712D7">
        <w:t xml:space="preserve">                               </w:t>
      </w:r>
    </w:p>
    <w:p w14:paraId="4540859E" w14:textId="77777777" w:rsidR="005D6C89" w:rsidRDefault="005D6C89" w:rsidP="009C4A0D">
      <w:pPr>
        <w:spacing w:line="240" w:lineRule="auto"/>
        <w:jc w:val="both"/>
      </w:pPr>
      <w:r>
        <w:t>v.</w:t>
      </w:r>
      <w:r w:rsidR="00035FCD">
        <w:t xml:space="preserve">                   </w:t>
      </w:r>
      <w:r w:rsidR="006712D7">
        <w:t xml:space="preserve">                               </w:t>
      </w:r>
    </w:p>
    <w:p w14:paraId="5752E905" w14:textId="77777777" w:rsidR="00035FCD" w:rsidRDefault="00035FCD" w:rsidP="009C4A0D">
      <w:pPr>
        <w:spacing w:line="240" w:lineRule="auto"/>
      </w:pPr>
      <w:r>
        <w:t xml:space="preserve">                                              </w:t>
      </w:r>
      <w:r w:rsidR="006712D7">
        <w:t xml:space="preserve">                               </w:t>
      </w:r>
    </w:p>
    <w:p w14:paraId="22C250DD" w14:textId="77777777" w:rsidR="006712D7" w:rsidRDefault="00E3738B" w:rsidP="009C4A0D">
      <w:pPr>
        <w:spacing w:line="240" w:lineRule="auto"/>
      </w:pPr>
      <w:r>
        <w:t>Elizabeth Lime, and TinyTV, Inc.</w:t>
      </w:r>
      <w:r w:rsidR="005D6C89">
        <w:t xml:space="preserve">, </w:t>
      </w:r>
      <w:r w:rsidR="00035FCD">
        <w:t xml:space="preserve">      </w:t>
      </w:r>
    </w:p>
    <w:p w14:paraId="13A50548" w14:textId="77777777" w:rsidR="006712D7" w:rsidRDefault="006712D7" w:rsidP="009C4A0D">
      <w:pPr>
        <w:spacing w:line="240" w:lineRule="auto"/>
      </w:pPr>
      <w:r>
        <w:tab/>
      </w:r>
      <w:r>
        <w:tab/>
      </w:r>
      <w:r>
        <w:tab/>
      </w:r>
    </w:p>
    <w:p w14:paraId="3CC84A36" w14:textId="77777777" w:rsidR="006712D7" w:rsidRDefault="006712D7" w:rsidP="009C4A0D">
      <w:pPr>
        <w:spacing w:line="240" w:lineRule="auto"/>
      </w:pPr>
      <w:r>
        <w:tab/>
      </w:r>
      <w:r>
        <w:tab/>
      </w:r>
      <w:r>
        <w:tab/>
        <w:t>Defendant</w:t>
      </w:r>
      <w:r w:rsidR="00E3738B">
        <w:t>s.</w:t>
      </w:r>
    </w:p>
    <w:p w14:paraId="6AD3D627" w14:textId="77777777" w:rsidR="006712D7" w:rsidRDefault="006712D7" w:rsidP="009C4A0D">
      <w:pPr>
        <w:spacing w:line="240" w:lineRule="auto"/>
      </w:pPr>
    </w:p>
    <w:p w14:paraId="5BCB7C85" w14:textId="77777777" w:rsidR="006712D7" w:rsidRDefault="006712D7" w:rsidP="009C4A0D">
      <w:pPr>
        <w:spacing w:line="240" w:lineRule="auto"/>
      </w:pPr>
    </w:p>
    <w:p w14:paraId="2874D8F4" w14:textId="77777777" w:rsidR="006712D7" w:rsidRDefault="006712D7" w:rsidP="009C4A0D">
      <w:pPr>
        <w:spacing w:line="240" w:lineRule="auto"/>
        <w:jc w:val="right"/>
      </w:pPr>
      <w:r>
        <w:t xml:space="preserve">     Civil Case No. </w:t>
      </w:r>
      <w:r w:rsidR="00383EE0">
        <w:t>27-CV-12-1234</w:t>
      </w:r>
    </w:p>
    <w:p w14:paraId="25B3CBEE" w14:textId="77777777" w:rsidR="006712D7" w:rsidRDefault="006712D7" w:rsidP="009C4A0D">
      <w:pPr>
        <w:spacing w:line="240" w:lineRule="auto"/>
        <w:jc w:val="right"/>
      </w:pPr>
    </w:p>
    <w:p w14:paraId="7DA32147" w14:textId="77777777" w:rsidR="006712D7" w:rsidRDefault="006712D7" w:rsidP="009C4A0D">
      <w:pPr>
        <w:spacing w:line="240" w:lineRule="auto"/>
        <w:ind w:right="120"/>
        <w:jc w:val="right"/>
      </w:pPr>
    </w:p>
    <w:p w14:paraId="7640AD5B" w14:textId="77777777" w:rsidR="00035FCD" w:rsidRPr="00E55795" w:rsidRDefault="006712D7" w:rsidP="009C4A0D">
      <w:pPr>
        <w:spacing w:line="240" w:lineRule="auto"/>
        <w:jc w:val="right"/>
        <w:rPr>
          <w:b/>
        </w:rPr>
      </w:pPr>
      <w:r>
        <w:t xml:space="preserve">     </w:t>
      </w:r>
      <w:r w:rsidR="003E5A1D" w:rsidRPr="00E55795">
        <w:rPr>
          <w:b/>
        </w:rPr>
        <w:t>MEMORANDUM OF LAW IN</w:t>
      </w:r>
    </w:p>
    <w:p w14:paraId="2A4772F9" w14:textId="77777777" w:rsidR="00035FCD" w:rsidRPr="00E55795" w:rsidRDefault="006712D7" w:rsidP="009C4A0D">
      <w:pPr>
        <w:spacing w:line="240" w:lineRule="auto"/>
        <w:jc w:val="right"/>
        <w:rPr>
          <w:b/>
        </w:rPr>
      </w:pPr>
      <w:r w:rsidRPr="00E55795">
        <w:rPr>
          <w:b/>
        </w:rPr>
        <w:t xml:space="preserve">     </w:t>
      </w:r>
      <w:r w:rsidR="00F83ECC" w:rsidRPr="00E55795">
        <w:rPr>
          <w:b/>
        </w:rPr>
        <w:t>SUPPORT OF DEFENDANTS’</w:t>
      </w:r>
    </w:p>
    <w:p w14:paraId="12127820" w14:textId="77777777" w:rsidR="005D6C89" w:rsidRPr="00E55795" w:rsidRDefault="006712D7" w:rsidP="009C4A0D">
      <w:pPr>
        <w:spacing w:line="240" w:lineRule="auto"/>
        <w:jc w:val="right"/>
        <w:rPr>
          <w:b/>
        </w:rPr>
      </w:pPr>
      <w:r w:rsidRPr="00E55795">
        <w:rPr>
          <w:b/>
        </w:rPr>
        <w:t xml:space="preserve">     </w:t>
      </w:r>
      <w:r w:rsidR="003E5A1D" w:rsidRPr="00E55795">
        <w:rPr>
          <w:b/>
        </w:rPr>
        <w:t xml:space="preserve">MOTION FOR </w:t>
      </w:r>
      <w:r w:rsidR="00E55795" w:rsidRPr="00E55795">
        <w:rPr>
          <w:b/>
        </w:rPr>
        <w:t>JUDGMENT ON THE PLEADINGS</w:t>
      </w:r>
    </w:p>
    <w:p w14:paraId="699729E8" w14:textId="77777777" w:rsidR="006712D7" w:rsidRDefault="003E5A1D" w:rsidP="009C4A0D">
      <w:pPr>
        <w:spacing w:line="240" w:lineRule="auto"/>
      </w:pPr>
      <w:r>
        <w:t xml:space="preserve">                                       </w:t>
      </w:r>
    </w:p>
    <w:p w14:paraId="672F91A7" w14:textId="77777777" w:rsidR="006712D7" w:rsidRDefault="006712D7" w:rsidP="009C4A0D">
      <w:pPr>
        <w:spacing w:line="240" w:lineRule="auto"/>
      </w:pPr>
    </w:p>
    <w:p w14:paraId="26F3B4D9" w14:textId="77777777" w:rsidR="00D518CA" w:rsidRDefault="00D518CA" w:rsidP="009C4A0D">
      <w:pPr>
        <w:spacing w:line="240" w:lineRule="auto"/>
        <w:sectPr w:rsidR="00D518CA" w:rsidSect="006712D7">
          <w:type w:val="continuous"/>
          <w:pgSz w:w="12240" w:h="15840"/>
          <w:pgMar w:top="1440" w:right="1440" w:bottom="1440" w:left="1440" w:header="720" w:footer="720" w:gutter="0"/>
          <w:cols w:num="2" w:space="720"/>
          <w:docGrid w:linePitch="360"/>
        </w:sectPr>
      </w:pPr>
    </w:p>
    <w:p w14:paraId="6E6DA200" w14:textId="77777777" w:rsidR="00D518CA" w:rsidRDefault="00E55795" w:rsidP="009C4A0D">
      <w:pPr>
        <w:spacing w:line="240" w:lineRule="auto"/>
        <w:jc w:val="center"/>
      </w:pPr>
      <w:r>
        <w:lastRenderedPageBreak/>
        <w:t>______________________________________________________________________________</w:t>
      </w:r>
    </w:p>
    <w:p w14:paraId="7EECCA8A" w14:textId="77777777" w:rsidR="00E55795" w:rsidRPr="00E55795" w:rsidRDefault="00E55795" w:rsidP="009C4A0D">
      <w:pPr>
        <w:spacing w:line="240" w:lineRule="auto"/>
        <w:jc w:val="center"/>
      </w:pPr>
    </w:p>
    <w:p w14:paraId="5D2309BD" w14:textId="77777777" w:rsidR="005D6C89" w:rsidRDefault="00F83ECC" w:rsidP="009C4A0D">
      <w:pPr>
        <w:spacing w:line="240" w:lineRule="auto"/>
        <w:jc w:val="center"/>
        <w:rPr>
          <w:u w:val="single"/>
        </w:rPr>
      </w:pPr>
      <w:r>
        <w:rPr>
          <w:b/>
          <w:u w:val="single"/>
        </w:rPr>
        <w:t>MEMORANDUM OF LAW IN SUPPORT OF DEFENDANT</w:t>
      </w:r>
      <w:r w:rsidR="005D6C89">
        <w:rPr>
          <w:b/>
          <w:u w:val="single"/>
        </w:rPr>
        <w:t>S</w:t>
      </w:r>
      <w:r>
        <w:rPr>
          <w:b/>
          <w:u w:val="single"/>
        </w:rPr>
        <w:t>’</w:t>
      </w:r>
      <w:r w:rsidR="00E55795">
        <w:rPr>
          <w:b/>
          <w:u w:val="single"/>
        </w:rPr>
        <w:t xml:space="preserve"> MOTION FOR JUDGMENT ON THE PLEADINGS</w:t>
      </w:r>
    </w:p>
    <w:p w14:paraId="2439905F" w14:textId="77777777" w:rsidR="005D6C89" w:rsidRDefault="005D6C89" w:rsidP="009C4A0D">
      <w:pPr>
        <w:spacing w:line="240" w:lineRule="auto"/>
        <w:jc w:val="center"/>
        <w:rPr>
          <w:u w:val="single"/>
        </w:rPr>
      </w:pPr>
    </w:p>
    <w:p w14:paraId="4F6457E4" w14:textId="77777777" w:rsidR="00E3738B" w:rsidRDefault="00E3738B" w:rsidP="009C4A0D">
      <w:pPr>
        <w:jc w:val="both"/>
      </w:pPr>
      <w:r>
        <w:tab/>
      </w:r>
      <w:r w:rsidR="00F954EC">
        <w:t>The Defendants, Elizabe</w:t>
      </w:r>
      <w:r w:rsidR="00143101">
        <w:t>th Lime and TinyTV, Inc. submit</w:t>
      </w:r>
      <w:r w:rsidR="00F954EC">
        <w:t xml:space="preserve"> this Memorandum of Law in support of their Motion for </w:t>
      </w:r>
      <w:r w:rsidR="00E55795">
        <w:t>Judgment on the Pleadings</w:t>
      </w:r>
      <w:r w:rsidR="00F954EC">
        <w:t xml:space="preserve"> under Fede</w:t>
      </w:r>
      <w:r w:rsidR="00143101">
        <w:t>ral Rule of Civil Procedure 12(c)</w:t>
      </w:r>
      <w:r w:rsidR="00F954EC">
        <w:t>.</w:t>
      </w:r>
    </w:p>
    <w:p w14:paraId="578C9553" w14:textId="77777777" w:rsidR="00E3738B" w:rsidRPr="00F954EC" w:rsidRDefault="00AD785A" w:rsidP="009C4A0D">
      <w:pPr>
        <w:jc w:val="center"/>
        <w:rPr>
          <w:b/>
        </w:rPr>
      </w:pPr>
      <w:r>
        <w:rPr>
          <w:b/>
        </w:rPr>
        <w:t xml:space="preserve">I.  </w:t>
      </w:r>
      <w:r w:rsidR="005D6C89" w:rsidRPr="00AD785A">
        <w:rPr>
          <w:b/>
        </w:rPr>
        <w:t>INTRODUCTION</w:t>
      </w:r>
    </w:p>
    <w:p w14:paraId="474986A4" w14:textId="77777777" w:rsidR="009F2CE3" w:rsidRDefault="00F954EC" w:rsidP="009C4A0D">
      <w:pPr>
        <w:ind w:firstLine="720"/>
        <w:jc w:val="both"/>
      </w:pPr>
      <w:r>
        <w:t xml:space="preserve">On January 17, 2012, OGS TV, a television network in Moot, sued Elizabeth Lime, a screenwriter, and TinyTV, another Moot television network, </w:t>
      </w:r>
      <w:r w:rsidR="00383EE0">
        <w:t>for copyright infringement under the federal Copyright Act of 1976, 17 U.S.C. §101 et seq. (Compl.  ¶ 5.) On January 23, 2012, this Court ordered Ms. Lime, Tiny TV, Inc. and the Plaintiff to file briefs explaining how the Court should construe the requirement for a work to be considered “made for hire” under the federal Copyright Act of 1976 – specifically, the Court asked whether the requirement of a signed writing in 17 U.S.C. § 101(2) mean</w:t>
      </w:r>
      <w:r w:rsidR="00143101">
        <w:t>s</w:t>
      </w:r>
      <w:r w:rsidR="00383EE0">
        <w:t xml:space="preserve"> that the writing must be signed by both parties preceding creation of the work in order for the work to be considere</w:t>
      </w:r>
      <w:r w:rsidR="006A620F">
        <w:t>d “made for hire.” (Ct. Order 1</w:t>
      </w:r>
      <w:r w:rsidR="00383EE0">
        <w:t>.</w:t>
      </w:r>
      <w:r w:rsidR="006A620F">
        <w:t>)</w:t>
      </w:r>
      <w:r w:rsidR="00383EE0">
        <w:t xml:space="preserve"> </w:t>
      </w:r>
    </w:p>
    <w:p w14:paraId="6ABF1439" w14:textId="77777777" w:rsidR="00766CA7" w:rsidRDefault="00383EE0" w:rsidP="009C4A0D">
      <w:pPr>
        <w:ind w:firstLine="720"/>
        <w:jc w:val="both"/>
      </w:pPr>
      <w:r>
        <w:lastRenderedPageBreak/>
        <w:t xml:space="preserve">Ms. Lime and TinyTV, Inc. </w:t>
      </w:r>
      <w:r w:rsidR="00766CA7">
        <w:t>request</w:t>
      </w:r>
      <w:r>
        <w:t xml:space="preserve"> the Court to grant </w:t>
      </w:r>
      <w:r w:rsidR="00766CA7">
        <w:t>the</w:t>
      </w:r>
      <w:r w:rsidR="00486FC0">
        <w:t xml:space="preserve"> Motion for Judgment on the Pleadings</w:t>
      </w:r>
      <w:r>
        <w:t xml:space="preserve"> </w:t>
      </w:r>
      <w:r w:rsidR="005116EA">
        <w:t>because the Plaintiff’s</w:t>
      </w:r>
      <w:r w:rsidR="00766CA7">
        <w:t xml:space="preserve"> </w:t>
      </w:r>
      <w:r w:rsidR="00143101">
        <w:t>complaint fails</w:t>
      </w:r>
      <w:r w:rsidR="00F21154">
        <w:t xml:space="preserve"> to state a </w:t>
      </w:r>
      <w:r w:rsidR="00143101">
        <w:t xml:space="preserve">valid legal </w:t>
      </w:r>
      <w:r w:rsidR="00F21154">
        <w:t xml:space="preserve">claim </w:t>
      </w:r>
      <w:r w:rsidR="00143101">
        <w:t>under Fed. R. Civ. P. 12(c)</w:t>
      </w:r>
      <w:r w:rsidR="00F21154">
        <w:t>.</w:t>
      </w:r>
      <w:r w:rsidR="005705C2">
        <w:t xml:space="preserve"> </w:t>
      </w:r>
      <w:r w:rsidR="006A620F">
        <w:t>The screenplay</w:t>
      </w:r>
      <w:r w:rsidR="00486FC0">
        <w:t xml:space="preserve"> “Anticipatory Repudiation” submitted by Ms. Lime to </w:t>
      </w:r>
      <w:r w:rsidR="00325F93">
        <w:t xml:space="preserve">Plaintiff </w:t>
      </w:r>
      <w:r w:rsidR="00486FC0">
        <w:t>on April 1, 2010</w:t>
      </w:r>
      <w:r w:rsidR="006A620F">
        <w:t xml:space="preserve"> was not a work made for hire within</w:t>
      </w:r>
      <w:r w:rsidR="00143101">
        <w:t xml:space="preserve"> the meaning of 17 U.S.C. §101. T</w:t>
      </w:r>
      <w:r w:rsidR="006A620F">
        <w:t xml:space="preserve">herefore, Ms. Lime is the author of the screenplay and the initial owner of the copyright to “Anticipatory Repudiation.” (Answer </w:t>
      </w:r>
      <w:r w:rsidR="00143101">
        <w:t xml:space="preserve">¶ </w:t>
      </w:r>
      <w:r w:rsidR="006A620F">
        <w:t xml:space="preserve">1.) </w:t>
      </w:r>
      <w:r w:rsidR="005705C2">
        <w:t>In this Brief, the De</w:t>
      </w:r>
      <w:r w:rsidR="005116EA">
        <w:t xml:space="preserve">fendants will show that §101(2)’s </w:t>
      </w:r>
      <w:r w:rsidR="005705C2">
        <w:t>re</w:t>
      </w:r>
      <w:r w:rsidR="00143101">
        <w:t>quirement of a signed writing</w:t>
      </w:r>
      <w:r w:rsidR="005705C2">
        <w:t xml:space="preserve"> mean</w:t>
      </w:r>
      <w:r w:rsidR="00143101">
        <w:t>s</w:t>
      </w:r>
      <w:r w:rsidR="005705C2">
        <w:t xml:space="preserve"> that </w:t>
      </w:r>
      <w:r w:rsidR="00813535">
        <w:t>it</w:t>
      </w:r>
      <w:r w:rsidR="005705C2">
        <w:t xml:space="preserve"> must be signed by both parties preceding creation of the work in order for the work to be considered “made for hire.”  </w:t>
      </w:r>
    </w:p>
    <w:p w14:paraId="3F77B5F5" w14:textId="77777777" w:rsidR="00C91BB3" w:rsidRDefault="00813535" w:rsidP="009C4A0D">
      <w:pPr>
        <w:jc w:val="center"/>
      </w:pPr>
      <w:r>
        <w:rPr>
          <w:b/>
        </w:rPr>
        <w:t xml:space="preserve">II. </w:t>
      </w:r>
      <w:r w:rsidR="00C91BB3">
        <w:rPr>
          <w:b/>
        </w:rPr>
        <w:t>FACTUAL BACKGROUND</w:t>
      </w:r>
    </w:p>
    <w:p w14:paraId="6E8C5D61" w14:textId="77777777" w:rsidR="00C77E63" w:rsidRDefault="00C91BB3" w:rsidP="009C4A0D">
      <w:pPr>
        <w:jc w:val="both"/>
      </w:pPr>
      <w:r>
        <w:tab/>
      </w:r>
      <w:r w:rsidR="00813535">
        <w:t xml:space="preserve">On </w:t>
      </w:r>
      <w:r w:rsidR="00C67FC1">
        <w:t xml:space="preserve">March 27, 2010, OGS TV, Inc. contacted Ms. </w:t>
      </w:r>
      <w:r w:rsidR="00343B0B">
        <w:t>Lime to specially commission f</w:t>
      </w:r>
      <w:r w:rsidR="00C67FC1">
        <w:t>r</w:t>
      </w:r>
      <w:r w:rsidR="00343B0B">
        <w:t>o</w:t>
      </w:r>
      <w:r w:rsidR="00C67FC1">
        <w:t xml:space="preserve">m her a screenplay for one episode of </w:t>
      </w:r>
      <w:r w:rsidR="00C67FC1" w:rsidRPr="00343B0B">
        <w:rPr>
          <w:i/>
        </w:rPr>
        <w:t>Lawless Love</w:t>
      </w:r>
      <w:r w:rsidR="00C67FC1">
        <w:t xml:space="preserve">, a television series </w:t>
      </w:r>
      <w:r w:rsidR="00343B0B">
        <w:t>produced by OGS TV, Inc</w:t>
      </w:r>
      <w:r w:rsidR="00C67FC1">
        <w:t xml:space="preserve">. </w:t>
      </w:r>
      <w:r w:rsidR="006A620F">
        <w:t>(Compl. ¶</w:t>
      </w:r>
      <w:r w:rsidR="009B252A">
        <w:t xml:space="preserve"> </w:t>
      </w:r>
      <w:r w:rsidR="006A620F">
        <w:t>2</w:t>
      </w:r>
      <w:r w:rsidR="00343B0B">
        <w:t>.</w:t>
      </w:r>
      <w:r w:rsidR="006A620F">
        <w:t>)</w:t>
      </w:r>
      <w:r w:rsidR="00343B0B">
        <w:t xml:space="preserve"> </w:t>
      </w:r>
      <w:r w:rsidR="00C67FC1">
        <w:t xml:space="preserve">Ms. Lime met with </w:t>
      </w:r>
      <w:r w:rsidR="00343B0B">
        <w:t>Dave Nelson</w:t>
      </w:r>
      <w:r w:rsidR="00C67FC1">
        <w:t xml:space="preserve">, who was the executive producer of </w:t>
      </w:r>
      <w:r w:rsidR="00C67FC1" w:rsidRPr="00343B0B">
        <w:rPr>
          <w:i/>
        </w:rPr>
        <w:t>Lawless Love</w:t>
      </w:r>
      <w:r w:rsidR="00343B0B">
        <w:t>, and an employee and agent of OGS TV, Inc</w:t>
      </w:r>
      <w:r w:rsidR="00C67FC1">
        <w:t xml:space="preserve">. </w:t>
      </w:r>
      <w:r w:rsidR="00343B0B">
        <w:t>(</w:t>
      </w:r>
      <w:r w:rsidR="00343B0B">
        <w:rPr>
          <w:i/>
        </w:rPr>
        <w:t>Id.</w:t>
      </w:r>
      <w:r w:rsidR="00325F93">
        <w:t xml:space="preserve"> ¶</w:t>
      </w:r>
      <w:r w:rsidR="00343B0B">
        <w:t xml:space="preserve"> </w:t>
      </w:r>
      <w:r w:rsidR="006A620F">
        <w:t>2</w:t>
      </w:r>
      <w:r w:rsidR="00C77E63">
        <w:t>.</w:t>
      </w:r>
      <w:r w:rsidR="006A620F">
        <w:t>)</w:t>
      </w:r>
      <w:r w:rsidR="00C77E63">
        <w:t xml:space="preserve"> </w:t>
      </w:r>
      <w:r w:rsidR="00C67FC1">
        <w:t xml:space="preserve">During the meeting, Mr. Nelson and Ms. Lime </w:t>
      </w:r>
      <w:r w:rsidR="00343B0B">
        <w:t xml:space="preserve">agreed orally that she would prepare a screenplay for </w:t>
      </w:r>
      <w:r w:rsidR="00343B0B" w:rsidRPr="00343B0B">
        <w:rPr>
          <w:i/>
        </w:rPr>
        <w:t>Lawless Love</w:t>
      </w:r>
      <w:r w:rsidR="00343B0B">
        <w:t xml:space="preserve"> by April 1, 2010.</w:t>
      </w:r>
      <w:r w:rsidR="00C77E63" w:rsidRPr="00C77E63">
        <w:t xml:space="preserve"> </w:t>
      </w:r>
      <w:r w:rsidR="00C77E63">
        <w:t>(</w:t>
      </w:r>
      <w:r w:rsidR="00C77E63">
        <w:rPr>
          <w:i/>
        </w:rPr>
        <w:t>Id.</w:t>
      </w:r>
      <w:r w:rsidR="00325F93">
        <w:t xml:space="preserve"> ¶</w:t>
      </w:r>
      <w:r w:rsidR="006A620F">
        <w:t xml:space="preserve"> 2</w:t>
      </w:r>
      <w:r w:rsidR="00C77E63">
        <w:t>.</w:t>
      </w:r>
      <w:r w:rsidR="006A620F">
        <w:t>)</w:t>
      </w:r>
      <w:r w:rsidR="00C77E63">
        <w:t xml:space="preserve"> </w:t>
      </w:r>
      <w:r w:rsidR="00325F93">
        <w:t xml:space="preserve">Mr. Nelson wanted Ms. Lime “to get to work right away” and told her “that she could return to sign the paperwork later.” (Id. ¶ 4.) </w:t>
      </w:r>
      <w:r w:rsidR="00343B0B">
        <w:t xml:space="preserve">Mr. Nelson informed Ms. Lime that the </w:t>
      </w:r>
      <w:r w:rsidR="00C77E63">
        <w:t>“</w:t>
      </w:r>
      <w:r w:rsidR="00343B0B">
        <w:t xml:space="preserve">work </w:t>
      </w:r>
      <w:r w:rsidR="00C77E63">
        <w:t>on the screenplay is for hire” and that OGS TV, Inc. will “be the author.” (</w:t>
      </w:r>
      <w:r w:rsidR="00C77E63">
        <w:rPr>
          <w:i/>
        </w:rPr>
        <w:t>Id.</w:t>
      </w:r>
      <w:r w:rsidR="00325F93">
        <w:t xml:space="preserve"> ¶</w:t>
      </w:r>
      <w:r w:rsidR="006A620F">
        <w:t xml:space="preserve"> 2</w:t>
      </w:r>
      <w:r w:rsidR="00C77E63">
        <w:t>.</w:t>
      </w:r>
      <w:r w:rsidR="006A620F">
        <w:t>)</w:t>
      </w:r>
      <w:r w:rsidR="00C77E63">
        <w:t xml:space="preserve"> Although Ms. Lime orally agreed</w:t>
      </w:r>
      <w:r w:rsidR="00143101">
        <w:t xml:space="preserve"> to a work-made-for-hire concept</w:t>
      </w:r>
      <w:r w:rsidR="00484063">
        <w:t xml:space="preserve"> at the meeting</w:t>
      </w:r>
      <w:r w:rsidR="00C77E63">
        <w:t xml:space="preserve">, </w:t>
      </w:r>
      <w:r w:rsidR="00484063">
        <w:t xml:space="preserve">there was no express written agreement signed by both Ms. Lime and Mr. Nelson preceding the creation of “Anticipatory Repudiation.” (Answer </w:t>
      </w:r>
      <w:r w:rsidR="00143101">
        <w:t xml:space="preserve">¶ </w:t>
      </w:r>
      <w:r w:rsidR="00484063">
        <w:t>1</w:t>
      </w:r>
      <w:r w:rsidR="006A620F">
        <w:t>.</w:t>
      </w:r>
      <w:r w:rsidR="00484063">
        <w:t xml:space="preserve">) </w:t>
      </w:r>
    </w:p>
    <w:p w14:paraId="19E7493A" w14:textId="77777777" w:rsidR="00813535" w:rsidRDefault="00C77E63" w:rsidP="009C4A0D">
      <w:pPr>
        <w:ind w:firstLine="720"/>
        <w:jc w:val="both"/>
      </w:pPr>
      <w:r>
        <w:t>On April 1, 2010, Ms. Lime submitted a screenplay entitled, “Anticipatory Repudiation.” (</w:t>
      </w:r>
      <w:r w:rsidR="009B252A">
        <w:t>Compl</w:t>
      </w:r>
      <w:r>
        <w:rPr>
          <w:i/>
        </w:rPr>
        <w:t>.</w:t>
      </w:r>
      <w:r w:rsidR="009B252A">
        <w:t xml:space="preserve"> </w:t>
      </w:r>
      <w:r w:rsidR="006A620F">
        <w:t>¶ 3</w:t>
      </w:r>
      <w:r>
        <w:t>.</w:t>
      </w:r>
      <w:r w:rsidR="006A620F">
        <w:t>)</w:t>
      </w:r>
      <w:r>
        <w:t xml:space="preserve"> </w:t>
      </w:r>
      <w:r w:rsidR="00495AC3">
        <w:t>O</w:t>
      </w:r>
      <w:r w:rsidR="00484063">
        <w:t>n April 6, 2010, both Ms. Lime and Mr. Nelson signed a docum</w:t>
      </w:r>
      <w:r w:rsidR="00186342">
        <w:t xml:space="preserve">ent labeled “Work-Made-For-Hire </w:t>
      </w:r>
      <w:r w:rsidR="00484063">
        <w:t>Agreement</w:t>
      </w:r>
      <w:r w:rsidR="00143101">
        <w:t>.</w:t>
      </w:r>
      <w:r w:rsidR="00484063">
        <w:t xml:space="preserve">” </w:t>
      </w:r>
      <w:r w:rsidR="00143101">
        <w:t xml:space="preserve">The signing occurred </w:t>
      </w:r>
      <w:r w:rsidR="00495AC3">
        <w:t xml:space="preserve">after the screenplay had been </w:t>
      </w:r>
      <w:r w:rsidR="00495AC3">
        <w:lastRenderedPageBreak/>
        <w:t xml:space="preserve">produced by Ms. Lime. </w:t>
      </w:r>
      <w:r w:rsidR="00484063">
        <w:t>(</w:t>
      </w:r>
      <w:r w:rsidR="009B252A" w:rsidRPr="009B252A">
        <w:rPr>
          <w:i/>
        </w:rPr>
        <w:t>Id</w:t>
      </w:r>
      <w:r w:rsidR="006A620F" w:rsidRPr="009B252A">
        <w:rPr>
          <w:i/>
        </w:rPr>
        <w:t>.</w:t>
      </w:r>
      <w:r w:rsidR="006A620F">
        <w:t xml:space="preserve"> ¶ 3</w:t>
      </w:r>
      <w:r w:rsidR="00495AC3">
        <w:t>.</w:t>
      </w:r>
      <w:r w:rsidR="006A620F">
        <w:t>)</w:t>
      </w:r>
      <w:r w:rsidR="00495AC3">
        <w:t xml:space="preserve"> </w:t>
      </w:r>
      <w:r w:rsidR="006B0BB7">
        <w:t xml:space="preserve">After the spring television season had ended, Ms. Lime found out that her screenplay was not performed as an episode of </w:t>
      </w:r>
      <w:r w:rsidR="006B0BB7" w:rsidRPr="006B0BB7">
        <w:rPr>
          <w:i/>
        </w:rPr>
        <w:t>Lawless Love</w:t>
      </w:r>
      <w:r w:rsidR="006B0BB7">
        <w:t>, because</w:t>
      </w:r>
      <w:r w:rsidR="00143101">
        <w:t xml:space="preserve"> the</w:t>
      </w:r>
      <w:r w:rsidR="006B0BB7">
        <w:t xml:space="preserve"> story did not fit the theme of the show. (</w:t>
      </w:r>
      <w:r w:rsidR="006B0BB7" w:rsidRPr="006B0BB7">
        <w:rPr>
          <w:i/>
        </w:rPr>
        <w:t>Id.</w:t>
      </w:r>
      <w:r w:rsidR="00325F93">
        <w:t xml:space="preserve"> ¶</w:t>
      </w:r>
      <w:r w:rsidR="006A620F">
        <w:t xml:space="preserve"> 3</w:t>
      </w:r>
      <w:r w:rsidR="006B0BB7">
        <w:t>.</w:t>
      </w:r>
      <w:r w:rsidR="006A620F">
        <w:t>)</w:t>
      </w:r>
    </w:p>
    <w:p w14:paraId="58F0FAA1" w14:textId="77777777" w:rsidR="00495AC3" w:rsidRDefault="00495AC3" w:rsidP="009C4A0D">
      <w:pPr>
        <w:jc w:val="both"/>
      </w:pPr>
      <w:r>
        <w:tab/>
        <w:t xml:space="preserve">In August 2010, Ms. Lime created a new television series entitled </w:t>
      </w:r>
      <w:r w:rsidRPr="00495AC3">
        <w:rPr>
          <w:i/>
        </w:rPr>
        <w:t>The Tin Can</w:t>
      </w:r>
      <w:r>
        <w:t xml:space="preserve"> and produced a screenplay for the pilot episode of </w:t>
      </w:r>
      <w:r w:rsidRPr="00495AC3">
        <w:rPr>
          <w:i/>
        </w:rPr>
        <w:t>The Tin Can</w:t>
      </w:r>
      <w:r>
        <w:t>, entitled “The Love Below.” (</w:t>
      </w:r>
      <w:r>
        <w:rPr>
          <w:i/>
        </w:rPr>
        <w:t>Id.</w:t>
      </w:r>
      <w:r w:rsidR="00325F93">
        <w:t xml:space="preserve"> ¶</w:t>
      </w:r>
      <w:r w:rsidR="006A620F">
        <w:t xml:space="preserve"> 3</w:t>
      </w:r>
      <w:r>
        <w:t>.</w:t>
      </w:r>
      <w:r w:rsidR="006A620F">
        <w:t>)</w:t>
      </w:r>
      <w:r>
        <w:t xml:space="preserve"> Subsequently, Ms. Lime produced and performed the screenplay “The Love Below” on television</w:t>
      </w:r>
      <w:r w:rsidR="00143101">
        <w:t>.</w:t>
      </w:r>
      <w:r>
        <w:t xml:space="preserve"> </w:t>
      </w:r>
      <w:r w:rsidR="00143101">
        <w:t xml:space="preserve">TinyTV’s cable television channel </w:t>
      </w:r>
      <w:r>
        <w:t>broadcast</w:t>
      </w:r>
      <w:r w:rsidR="00143101">
        <w:t>ed</w:t>
      </w:r>
      <w:r>
        <w:t xml:space="preserve"> and displayed such performance over television to the publ</w:t>
      </w:r>
      <w:r w:rsidR="00143101">
        <w:t xml:space="preserve">ic throughout the United States. </w:t>
      </w:r>
      <w:r w:rsidR="006B0BB7">
        <w:t>(</w:t>
      </w:r>
      <w:r w:rsidR="006B0BB7">
        <w:rPr>
          <w:i/>
        </w:rPr>
        <w:t>Id.</w:t>
      </w:r>
      <w:r w:rsidR="006B0BB7">
        <w:t xml:space="preserve"> ¶¶ 3</w:t>
      </w:r>
      <w:r w:rsidR="009B3758">
        <w:t xml:space="preserve"> &amp; </w:t>
      </w:r>
      <w:r w:rsidR="006B0BB7">
        <w:t>4</w:t>
      </w:r>
      <w:r w:rsidR="009B3758">
        <w:t>.</w:t>
      </w:r>
      <w:r w:rsidR="008F3714">
        <w:t>)</w:t>
      </w:r>
      <w:r w:rsidR="009B3758">
        <w:t xml:space="preserve"> </w:t>
      </w:r>
    </w:p>
    <w:p w14:paraId="2FCBD40C" w14:textId="77777777" w:rsidR="00FE419B" w:rsidRDefault="00FE419B" w:rsidP="009C4A0D">
      <w:pPr>
        <w:ind w:firstLine="720"/>
        <w:jc w:val="both"/>
      </w:pPr>
      <w:r>
        <w:t>On September 15, 2010, Ms. Lime and TinyTV, Inc. were notified that OGS TV, Inc. filed a suit against them for copyright infringement under the Copyright Act</w:t>
      </w:r>
      <w:r w:rsidR="009B3758">
        <w:t xml:space="preserve"> of 1976</w:t>
      </w:r>
      <w:r>
        <w:t xml:space="preserve">. </w:t>
      </w:r>
      <w:r w:rsidR="009B3758">
        <w:t>(</w:t>
      </w:r>
      <w:r w:rsidR="009B3758">
        <w:rPr>
          <w:i/>
        </w:rPr>
        <w:t>Id.</w:t>
      </w:r>
      <w:r w:rsidR="00325F93">
        <w:t xml:space="preserve"> </w:t>
      </w:r>
      <w:r w:rsidR="009B3758">
        <w:t>¶ 4.</w:t>
      </w:r>
      <w:r w:rsidR="008F3714">
        <w:t>)</w:t>
      </w:r>
      <w:r w:rsidR="009B3758">
        <w:t xml:space="preserve"> </w:t>
      </w:r>
      <w:r>
        <w:t>The Plaintiff seeks to enjoin Ms. Lime from displaying the production of the screenplay at issue, arguing that the screenplay Ms. Lime produced was a work made for hire under the agreement she signed after the work was produced, pursuant to the Copyright Act.</w:t>
      </w:r>
      <w:r w:rsidR="009B3758">
        <w:t xml:space="preserve"> (</w:t>
      </w:r>
      <w:r w:rsidR="009B3758">
        <w:rPr>
          <w:i/>
        </w:rPr>
        <w:t>Id.</w:t>
      </w:r>
      <w:r w:rsidR="00325F93">
        <w:t xml:space="preserve"> </w:t>
      </w:r>
      <w:r w:rsidR="009B3758">
        <w:t>¶ 4.</w:t>
      </w:r>
      <w:r w:rsidR="008F3714">
        <w:t>)</w:t>
      </w:r>
      <w:r>
        <w:t xml:space="preserve"> </w:t>
      </w:r>
      <w:r w:rsidR="009B3758">
        <w:t xml:space="preserve">Based on the facts of the case </w:t>
      </w:r>
      <w:r>
        <w:t xml:space="preserve">and the arguments of the Parties, this Court should </w:t>
      </w:r>
      <w:r w:rsidR="00712D93">
        <w:t xml:space="preserve">grant Defendants’ Motion for </w:t>
      </w:r>
      <w:r w:rsidR="00486FC0">
        <w:t>Judgment on the Pleadings</w:t>
      </w:r>
      <w:r w:rsidR="00AA299B">
        <w:t xml:space="preserve"> for failure to state a </w:t>
      </w:r>
      <w:r w:rsidR="00143101">
        <w:t>valid legal claim</w:t>
      </w:r>
      <w:r>
        <w:t>.</w:t>
      </w:r>
    </w:p>
    <w:p w14:paraId="399296DE" w14:textId="77777777" w:rsidR="0036521D" w:rsidRPr="00E75DD6" w:rsidRDefault="0036521D" w:rsidP="009C4A0D">
      <w:pPr>
        <w:spacing w:line="240" w:lineRule="auto"/>
        <w:jc w:val="center"/>
        <w:rPr>
          <w:b/>
          <w:szCs w:val="24"/>
        </w:rPr>
      </w:pPr>
      <w:r w:rsidRPr="00E75DD6">
        <w:rPr>
          <w:b/>
          <w:szCs w:val="24"/>
        </w:rPr>
        <w:t xml:space="preserve">III. </w:t>
      </w:r>
      <w:r>
        <w:rPr>
          <w:b/>
          <w:szCs w:val="24"/>
        </w:rPr>
        <w:t>ARGUMENT</w:t>
      </w:r>
    </w:p>
    <w:p w14:paraId="47B29991" w14:textId="77777777" w:rsidR="0036521D" w:rsidRPr="00E75DD6" w:rsidRDefault="0036521D" w:rsidP="009C4A0D">
      <w:pPr>
        <w:spacing w:line="240" w:lineRule="auto"/>
        <w:jc w:val="center"/>
        <w:rPr>
          <w:b/>
          <w:szCs w:val="24"/>
        </w:rPr>
      </w:pPr>
    </w:p>
    <w:p w14:paraId="29BA1E21" w14:textId="77777777" w:rsidR="0036521D" w:rsidRDefault="007C37D5" w:rsidP="009C4A0D">
      <w:pPr>
        <w:pStyle w:val="ListParagraph"/>
        <w:numPr>
          <w:ilvl w:val="0"/>
          <w:numId w:val="11"/>
        </w:numPr>
        <w:spacing w:line="240" w:lineRule="auto"/>
        <w:rPr>
          <w:b/>
          <w:szCs w:val="24"/>
        </w:rPr>
      </w:pPr>
      <w:r>
        <w:rPr>
          <w:b/>
          <w:szCs w:val="24"/>
        </w:rPr>
        <w:t>To Grant Defendant</w:t>
      </w:r>
      <w:r w:rsidR="0036521D" w:rsidRPr="00E75DD6">
        <w:rPr>
          <w:b/>
          <w:szCs w:val="24"/>
        </w:rPr>
        <w:t>s</w:t>
      </w:r>
      <w:r>
        <w:rPr>
          <w:b/>
          <w:szCs w:val="24"/>
        </w:rPr>
        <w:t>’</w:t>
      </w:r>
      <w:r w:rsidR="0036521D" w:rsidRPr="00E75DD6">
        <w:rPr>
          <w:b/>
          <w:szCs w:val="24"/>
        </w:rPr>
        <w:t xml:space="preserve"> Motion, This Court Must Find That the Plaintiff’s Complaint Fails to </w:t>
      </w:r>
      <w:r w:rsidR="0036521D">
        <w:rPr>
          <w:b/>
          <w:szCs w:val="24"/>
        </w:rPr>
        <w:t>State a Valid Legal Claim.</w:t>
      </w:r>
    </w:p>
    <w:p w14:paraId="64229248" w14:textId="77777777" w:rsidR="00083416" w:rsidRDefault="00083416" w:rsidP="009C4A0D">
      <w:pPr>
        <w:spacing w:line="240" w:lineRule="auto"/>
        <w:rPr>
          <w:b/>
          <w:szCs w:val="24"/>
        </w:rPr>
      </w:pPr>
    </w:p>
    <w:p w14:paraId="1D52BA23" w14:textId="77777777" w:rsidR="001C3651" w:rsidRPr="001C3651" w:rsidRDefault="00083416" w:rsidP="009C4A0D">
      <w:pPr>
        <w:rPr>
          <w:iCs/>
          <w:szCs w:val="24"/>
        </w:rPr>
      </w:pPr>
      <w:r>
        <w:rPr>
          <w:szCs w:val="24"/>
        </w:rPr>
        <w:tab/>
      </w:r>
      <w:r w:rsidR="00661C55" w:rsidRPr="00661C55">
        <w:rPr>
          <w:szCs w:val="24"/>
        </w:rPr>
        <w:t>Federal Rule of Civil Procedure 12(c) provides that “[a]fter the pleadings are closed but e</w:t>
      </w:r>
      <w:r w:rsidR="00617B52">
        <w:rPr>
          <w:szCs w:val="24"/>
        </w:rPr>
        <w:t>arly enough not to delay trial</w:t>
      </w:r>
      <w:r w:rsidR="00AD4F8A">
        <w:rPr>
          <w:szCs w:val="24"/>
        </w:rPr>
        <w:t>,</w:t>
      </w:r>
      <w:r w:rsidR="00617B52">
        <w:rPr>
          <w:szCs w:val="24"/>
        </w:rPr>
        <w:t xml:space="preserve"> </w:t>
      </w:r>
      <w:r w:rsidR="00661C55" w:rsidRPr="00661C55">
        <w:rPr>
          <w:szCs w:val="24"/>
        </w:rPr>
        <w:t xml:space="preserve">a party may move for judgment on the pleadings.” A motion for judgment on the pleadings is decided using the same standard that applies to motions to dismiss under Federal Rule of Civil Procedure 12(b)(6). </w:t>
      </w:r>
      <w:r w:rsidR="001B360E" w:rsidRPr="00661C55">
        <w:rPr>
          <w:i/>
          <w:iCs/>
          <w:szCs w:val="24"/>
        </w:rPr>
        <w:t>Park Univ. Enters., Inc. v. American Cas. Co.,</w:t>
      </w:r>
      <w:r w:rsidR="001B360E" w:rsidRPr="00661C55">
        <w:rPr>
          <w:szCs w:val="24"/>
        </w:rPr>
        <w:t xml:space="preserve"> 442 F.3d 1239, 1245 (10th Cir. 2006).</w:t>
      </w:r>
      <w:r w:rsidR="00661C55" w:rsidRPr="00661C55">
        <w:rPr>
          <w:szCs w:val="24"/>
        </w:rPr>
        <w:t xml:space="preserve"> That is, the Court must accept all facts pleaded by the non-moving party as true and grant all reasonable inferences from the pleadings in the non-</w:t>
      </w:r>
      <w:r w:rsidR="00661C55" w:rsidRPr="00661C55">
        <w:rPr>
          <w:szCs w:val="24"/>
        </w:rPr>
        <w:lastRenderedPageBreak/>
        <w:t xml:space="preserve">movant's favor. </w:t>
      </w:r>
      <w:r w:rsidR="00661C55">
        <w:rPr>
          <w:i/>
          <w:iCs/>
          <w:szCs w:val="24"/>
        </w:rPr>
        <w:t>Id</w:t>
      </w:r>
      <w:r w:rsidR="00661C55">
        <w:rPr>
          <w:iCs/>
          <w:szCs w:val="24"/>
        </w:rPr>
        <w:t xml:space="preserve">. </w:t>
      </w:r>
      <w:r w:rsidR="001C3651" w:rsidRPr="001C3651">
        <w:rPr>
          <w:iCs/>
          <w:szCs w:val="24"/>
        </w:rPr>
        <w:t xml:space="preserve">Judgment on the pleadings should not be granted “unless the moving party has clearly established that no material issue of fact remains to be resolved and the party is entitled to judgment as a matter of law.” </w:t>
      </w:r>
      <w:r w:rsidR="001C3651" w:rsidRPr="001C3651">
        <w:rPr>
          <w:i/>
          <w:iCs/>
          <w:szCs w:val="24"/>
        </w:rPr>
        <w:t>United States v. Any &amp; all Radio Station Transmission Equip.,</w:t>
      </w:r>
      <w:r w:rsidR="001C3651" w:rsidRPr="001C3651">
        <w:rPr>
          <w:iCs/>
          <w:szCs w:val="24"/>
        </w:rPr>
        <w:t xml:space="preserve"> 207 F.3d 458, 462 (8th Cir.2000). </w:t>
      </w:r>
    </w:p>
    <w:p w14:paraId="09BB8C5D" w14:textId="77777777" w:rsidR="0036521D" w:rsidRPr="00083416" w:rsidRDefault="00083416" w:rsidP="009C4A0D">
      <w:pPr>
        <w:rPr>
          <w:szCs w:val="24"/>
        </w:rPr>
      </w:pPr>
      <w:r>
        <w:rPr>
          <w:szCs w:val="24"/>
        </w:rPr>
        <w:tab/>
        <w:t>The issue for decision here is not the sufficiency of the Complaint’s allegations of fact but rather the legal theory upon which those allegations rest – whether “the requirement of a signed writing in 17 U.S.C. § 101(2) mean</w:t>
      </w:r>
      <w:r w:rsidR="007C37D5">
        <w:rPr>
          <w:szCs w:val="24"/>
        </w:rPr>
        <w:t>s</w:t>
      </w:r>
      <w:r>
        <w:rPr>
          <w:szCs w:val="24"/>
        </w:rPr>
        <w:t xml:space="preserve"> that the writing must be signed by both parties preceding creation of the work in order for the work </w:t>
      </w:r>
      <w:r w:rsidR="00186342">
        <w:rPr>
          <w:szCs w:val="24"/>
        </w:rPr>
        <w:t>to be considered “made for hire.</w:t>
      </w:r>
      <w:r>
        <w:rPr>
          <w:szCs w:val="24"/>
        </w:rPr>
        <w:t>” (Ct. Order 1.)</w:t>
      </w:r>
    </w:p>
    <w:p w14:paraId="7B046F5F" w14:textId="77777777" w:rsidR="0036521D" w:rsidRPr="00E75DD6" w:rsidRDefault="0036521D" w:rsidP="009C4A0D">
      <w:pPr>
        <w:pStyle w:val="ListParagraph"/>
        <w:spacing w:line="240" w:lineRule="auto"/>
        <w:rPr>
          <w:b/>
          <w:szCs w:val="24"/>
        </w:rPr>
      </w:pPr>
    </w:p>
    <w:p w14:paraId="74319A6D" w14:textId="77777777" w:rsidR="0036521D" w:rsidRDefault="0036521D" w:rsidP="009C4A0D">
      <w:pPr>
        <w:pStyle w:val="ListParagraph"/>
        <w:numPr>
          <w:ilvl w:val="0"/>
          <w:numId w:val="11"/>
        </w:numPr>
        <w:spacing w:line="240" w:lineRule="auto"/>
        <w:rPr>
          <w:b/>
          <w:szCs w:val="24"/>
        </w:rPr>
      </w:pPr>
      <w:r w:rsidRPr="00B51FD7">
        <w:rPr>
          <w:b/>
          <w:szCs w:val="24"/>
        </w:rPr>
        <w:t xml:space="preserve">17 U.S.C. §101(2) requires the writing to be signed by both parties preceding creation of the work in order for the work to be considered “made for hire.” </w:t>
      </w:r>
    </w:p>
    <w:p w14:paraId="2DFE3ECF" w14:textId="77777777" w:rsidR="0073408A" w:rsidRDefault="0073408A" w:rsidP="009C4A0D">
      <w:pPr>
        <w:spacing w:line="240" w:lineRule="auto"/>
        <w:rPr>
          <w:b/>
          <w:szCs w:val="24"/>
        </w:rPr>
      </w:pPr>
    </w:p>
    <w:p w14:paraId="0DBC64BE" w14:textId="77777777" w:rsidR="009275F6" w:rsidRDefault="00626062" w:rsidP="009C4A0D">
      <w:pPr>
        <w:rPr>
          <w:szCs w:val="24"/>
        </w:rPr>
      </w:pPr>
      <w:r>
        <w:rPr>
          <w:szCs w:val="24"/>
        </w:rPr>
        <w:tab/>
      </w:r>
      <w:r w:rsidR="00C44E86">
        <w:rPr>
          <w:szCs w:val="24"/>
        </w:rPr>
        <w:t xml:space="preserve">The Copyright </w:t>
      </w:r>
      <w:r w:rsidR="00AB1955">
        <w:rPr>
          <w:szCs w:val="24"/>
        </w:rPr>
        <w:t>Act</w:t>
      </w:r>
      <w:r w:rsidR="00C44E86">
        <w:rPr>
          <w:szCs w:val="24"/>
        </w:rPr>
        <w:t xml:space="preserve"> of 1976 </w:t>
      </w:r>
      <w:r w:rsidR="009275F6">
        <w:rPr>
          <w:szCs w:val="24"/>
        </w:rPr>
        <w:t>explicitly defines works made for hire:</w:t>
      </w:r>
    </w:p>
    <w:p w14:paraId="0F7182D3" w14:textId="77777777" w:rsidR="00AB1955" w:rsidRPr="00AB1955" w:rsidRDefault="00AB1955" w:rsidP="009C4A0D">
      <w:pPr>
        <w:rPr>
          <w:rFonts w:eastAsia="Times New Roman"/>
          <w:szCs w:val="24"/>
          <w:lang w:eastAsia="ko-KR"/>
        </w:rPr>
      </w:pPr>
      <w:r>
        <w:rPr>
          <w:szCs w:val="24"/>
        </w:rPr>
        <w:tab/>
      </w:r>
      <w:r w:rsidRPr="00AB1955">
        <w:rPr>
          <w:rFonts w:eastAsia="Times New Roman"/>
          <w:szCs w:val="24"/>
          <w:lang w:eastAsia="ko-KR"/>
        </w:rPr>
        <w:t>A “work made for hire” is—</w:t>
      </w:r>
    </w:p>
    <w:p w14:paraId="10B49C2A" w14:textId="77777777" w:rsidR="00AB1955" w:rsidRPr="00AB1955" w:rsidRDefault="00AB1955" w:rsidP="009C4A0D">
      <w:pPr>
        <w:spacing w:line="240" w:lineRule="auto"/>
        <w:ind w:firstLine="720"/>
        <w:rPr>
          <w:rFonts w:eastAsia="Times New Roman"/>
          <w:szCs w:val="24"/>
          <w:lang w:eastAsia="ko-KR"/>
        </w:rPr>
      </w:pPr>
      <w:r w:rsidRPr="00AB1955">
        <w:rPr>
          <w:rFonts w:eastAsia="Times New Roman"/>
          <w:szCs w:val="24"/>
          <w:lang w:eastAsia="ko-KR"/>
        </w:rPr>
        <w:t>(1) a work prepared by an employee within the scope of his or her employment; or</w:t>
      </w:r>
    </w:p>
    <w:p w14:paraId="7BD7C3FB" w14:textId="77777777" w:rsidR="00AB1955" w:rsidRDefault="00AB1955" w:rsidP="009C4A0D">
      <w:pPr>
        <w:spacing w:line="240" w:lineRule="auto"/>
        <w:ind w:left="720"/>
        <w:rPr>
          <w:rFonts w:eastAsia="Times New Roman"/>
          <w:szCs w:val="24"/>
          <w:lang w:eastAsia="ko-KR"/>
        </w:rPr>
      </w:pPr>
    </w:p>
    <w:p w14:paraId="1F867463" w14:textId="77777777" w:rsidR="00AB1955" w:rsidRDefault="00AB1955" w:rsidP="009C4A0D">
      <w:pPr>
        <w:spacing w:line="240" w:lineRule="auto"/>
        <w:ind w:left="720"/>
        <w:rPr>
          <w:rFonts w:eastAsia="Times New Roman"/>
          <w:szCs w:val="24"/>
          <w:lang w:eastAsia="ko-KR"/>
        </w:rPr>
      </w:pPr>
      <w:r w:rsidRPr="00AB1955">
        <w:rPr>
          <w:rFonts w:eastAsia="Times New Roman"/>
          <w:szCs w:val="24"/>
          <w:lang w:eastAsia="ko-KR"/>
        </w:rPr>
        <w:t xml:space="preserve">(2)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w:t>
      </w:r>
      <w:r w:rsidRPr="00617B52">
        <w:rPr>
          <w:rFonts w:eastAsia="Times New Roman"/>
          <w:szCs w:val="24"/>
          <w:lang w:eastAsia="ko-KR"/>
        </w:rPr>
        <w:t>shall</w:t>
      </w:r>
      <w:r w:rsidRPr="00617B52">
        <w:rPr>
          <w:rFonts w:eastAsia="Times New Roman"/>
          <w:i/>
          <w:szCs w:val="24"/>
          <w:lang w:eastAsia="ko-KR"/>
        </w:rPr>
        <w:t xml:space="preserve"> </w:t>
      </w:r>
      <w:r w:rsidRPr="00AB1955">
        <w:rPr>
          <w:rFonts w:eastAsia="Times New Roman"/>
          <w:szCs w:val="24"/>
          <w:lang w:eastAsia="ko-KR"/>
        </w:rPr>
        <w:t>be con</w:t>
      </w:r>
      <w:r w:rsidR="0017027A">
        <w:rPr>
          <w:rFonts w:eastAsia="Times New Roman"/>
          <w:szCs w:val="24"/>
          <w:lang w:eastAsia="ko-KR"/>
        </w:rPr>
        <w:t>sidered a work made for hire….</w:t>
      </w:r>
    </w:p>
    <w:p w14:paraId="042BCBB7" w14:textId="77777777" w:rsidR="00AB1955" w:rsidRPr="00AB1955" w:rsidRDefault="00AB1955" w:rsidP="009C4A0D">
      <w:pPr>
        <w:spacing w:line="240" w:lineRule="auto"/>
        <w:rPr>
          <w:rFonts w:eastAsia="Times New Roman"/>
          <w:szCs w:val="24"/>
          <w:lang w:eastAsia="ko-KR"/>
        </w:rPr>
      </w:pPr>
    </w:p>
    <w:p w14:paraId="1F32E57A" w14:textId="77777777" w:rsidR="0073408A" w:rsidRPr="0073408A" w:rsidRDefault="007C37D5" w:rsidP="009C4A0D">
      <w:pPr>
        <w:rPr>
          <w:szCs w:val="24"/>
        </w:rPr>
      </w:pPr>
      <w:proofErr w:type="gramStart"/>
      <w:r>
        <w:rPr>
          <w:szCs w:val="24"/>
        </w:rPr>
        <w:t>17 U.S.C</w:t>
      </w:r>
      <w:r w:rsidR="00D101C0">
        <w:rPr>
          <w:szCs w:val="24"/>
        </w:rPr>
        <w:t>. § 101</w:t>
      </w:r>
      <w:r w:rsidR="00AB1955" w:rsidRPr="00AB1955">
        <w:rPr>
          <w:szCs w:val="24"/>
        </w:rPr>
        <w:t>.</w:t>
      </w:r>
      <w:proofErr w:type="gramEnd"/>
      <w:r w:rsidR="00AB1955">
        <w:rPr>
          <w:szCs w:val="24"/>
        </w:rPr>
        <w:t xml:space="preserve"> </w:t>
      </w:r>
      <w:r w:rsidR="009275F6">
        <w:rPr>
          <w:szCs w:val="24"/>
        </w:rPr>
        <w:t>The plain meaning of the statute, supported by the</w:t>
      </w:r>
      <w:r>
        <w:rPr>
          <w:szCs w:val="24"/>
        </w:rPr>
        <w:t xml:space="preserve"> structure of the statute and the</w:t>
      </w:r>
      <w:r w:rsidR="009275F6">
        <w:rPr>
          <w:szCs w:val="24"/>
        </w:rPr>
        <w:t xml:space="preserve"> legislative history, demonstrates that the writing must precede creation of the work in order for the work to be considered “made for hire.” Furthermore, </w:t>
      </w:r>
      <w:r w:rsidR="00C44E86">
        <w:rPr>
          <w:szCs w:val="24"/>
        </w:rPr>
        <w:t>the pr</w:t>
      </w:r>
      <w:r w:rsidR="00D4345D">
        <w:rPr>
          <w:szCs w:val="24"/>
        </w:rPr>
        <w:t>ior</w:t>
      </w:r>
      <w:r w:rsidR="00C44E86">
        <w:rPr>
          <w:szCs w:val="24"/>
        </w:rPr>
        <w:t xml:space="preserve"> case la</w:t>
      </w:r>
      <w:r>
        <w:rPr>
          <w:szCs w:val="24"/>
        </w:rPr>
        <w:t>w</w:t>
      </w:r>
      <w:r w:rsidR="00C44E86">
        <w:rPr>
          <w:szCs w:val="24"/>
        </w:rPr>
        <w:t xml:space="preserve"> support</w:t>
      </w:r>
      <w:r>
        <w:rPr>
          <w:szCs w:val="24"/>
        </w:rPr>
        <w:t>s</w:t>
      </w:r>
      <w:r w:rsidR="00C44E86">
        <w:rPr>
          <w:szCs w:val="24"/>
        </w:rPr>
        <w:t xml:space="preserve"> the conclusion</w:t>
      </w:r>
      <w:r w:rsidR="009275F6">
        <w:rPr>
          <w:szCs w:val="24"/>
        </w:rPr>
        <w:t xml:space="preserve"> that the statute should be construed in favor of Ms. Lime and TinyTV, Inc. </w:t>
      </w:r>
    </w:p>
    <w:p w14:paraId="7E9A436C" w14:textId="77777777" w:rsidR="0036521D" w:rsidRPr="00B51FD7" w:rsidRDefault="0036521D" w:rsidP="009C4A0D">
      <w:pPr>
        <w:pStyle w:val="ListParagraph"/>
        <w:spacing w:line="240" w:lineRule="auto"/>
        <w:rPr>
          <w:b/>
          <w:szCs w:val="24"/>
        </w:rPr>
      </w:pPr>
    </w:p>
    <w:p w14:paraId="7F1978B9" w14:textId="77777777" w:rsidR="0036521D" w:rsidRDefault="007B5AFD" w:rsidP="009C4A0D">
      <w:pPr>
        <w:pStyle w:val="ListParagraph"/>
        <w:numPr>
          <w:ilvl w:val="0"/>
          <w:numId w:val="12"/>
        </w:numPr>
        <w:spacing w:line="240" w:lineRule="auto"/>
        <w:rPr>
          <w:b/>
          <w:szCs w:val="24"/>
        </w:rPr>
      </w:pPr>
      <w:r>
        <w:rPr>
          <w:b/>
          <w:szCs w:val="24"/>
        </w:rPr>
        <w:t xml:space="preserve">The Language of 17 U.S.C. </w:t>
      </w:r>
      <w:r w:rsidR="0036521D" w:rsidRPr="00B51FD7">
        <w:rPr>
          <w:b/>
          <w:szCs w:val="24"/>
        </w:rPr>
        <w:t xml:space="preserve">§101(2) Unambiguously Shows That Congress Intended to Require </w:t>
      </w:r>
      <w:r w:rsidR="00181382">
        <w:rPr>
          <w:b/>
          <w:szCs w:val="24"/>
        </w:rPr>
        <w:t xml:space="preserve">a </w:t>
      </w:r>
      <w:r w:rsidR="0036521D" w:rsidRPr="00B51FD7">
        <w:rPr>
          <w:b/>
          <w:szCs w:val="24"/>
        </w:rPr>
        <w:t>Written Agreement Prior to Creation of Work.</w:t>
      </w:r>
    </w:p>
    <w:p w14:paraId="0F394007" w14:textId="77777777" w:rsidR="00C97EB0" w:rsidRDefault="00C97EB0" w:rsidP="009C4A0D">
      <w:pPr>
        <w:spacing w:line="240" w:lineRule="auto"/>
        <w:rPr>
          <w:b/>
          <w:szCs w:val="24"/>
        </w:rPr>
      </w:pPr>
    </w:p>
    <w:p w14:paraId="225A18E6" w14:textId="77777777" w:rsidR="00A1549D" w:rsidRDefault="00C97EB0" w:rsidP="009C4A0D">
      <w:pPr>
        <w:ind w:firstLine="720"/>
        <w:rPr>
          <w:szCs w:val="24"/>
        </w:rPr>
      </w:pPr>
      <w:r>
        <w:rPr>
          <w:szCs w:val="24"/>
        </w:rPr>
        <w:lastRenderedPageBreak/>
        <w:t xml:space="preserve">“[W]ith any case involving the interpretation of a statute, [the] analysis must begin with the language of the statue itself.” </w:t>
      </w:r>
      <w:r w:rsidRPr="00382932">
        <w:rPr>
          <w:i/>
          <w:szCs w:val="24"/>
        </w:rPr>
        <w:t>Touche Ross &amp; Co. v. Redington</w:t>
      </w:r>
      <w:r>
        <w:rPr>
          <w:szCs w:val="24"/>
        </w:rPr>
        <w:t xml:space="preserve">, 442 U.S. 560, 568 (1979). </w:t>
      </w:r>
      <w:r w:rsidR="00234205">
        <w:rPr>
          <w:szCs w:val="24"/>
        </w:rPr>
        <w:t xml:space="preserve">The plain meaning canon of statutory construction helps determine the meaning of the statute based on its language. </w:t>
      </w:r>
      <w:r w:rsidR="00234205" w:rsidRPr="00382932">
        <w:rPr>
          <w:i/>
          <w:szCs w:val="24"/>
        </w:rPr>
        <w:t>Am. Tobacco Co. v. Patterson</w:t>
      </w:r>
      <w:r w:rsidR="00234205">
        <w:rPr>
          <w:szCs w:val="24"/>
        </w:rPr>
        <w:t xml:space="preserve">, 456 U.S. 63, 68 (1982). </w:t>
      </w:r>
      <w:r w:rsidR="00382932">
        <w:rPr>
          <w:szCs w:val="24"/>
        </w:rPr>
        <w:t xml:space="preserve">The language of the statute “must ordinarily be regarded as conclusive.” </w:t>
      </w:r>
      <w:r w:rsidR="00382932" w:rsidRPr="00382932">
        <w:rPr>
          <w:i/>
          <w:szCs w:val="24"/>
        </w:rPr>
        <w:t xml:space="preserve">Consumer Prod. </w:t>
      </w:r>
      <w:proofErr w:type="gramStart"/>
      <w:r w:rsidR="00382932" w:rsidRPr="00382932">
        <w:rPr>
          <w:i/>
          <w:szCs w:val="24"/>
        </w:rPr>
        <w:t>Safety Comm’n v. GTE Sylvania</w:t>
      </w:r>
      <w:r w:rsidR="00A1549D">
        <w:rPr>
          <w:szCs w:val="24"/>
        </w:rPr>
        <w:t>, 447 U.S. 102, 108 (1980).</w:t>
      </w:r>
      <w:proofErr w:type="gramEnd"/>
    </w:p>
    <w:p w14:paraId="7579E68D" w14:textId="77777777" w:rsidR="005D26F9" w:rsidRDefault="00A1549D" w:rsidP="009C4A0D">
      <w:pPr>
        <w:ind w:firstLine="720"/>
      </w:pPr>
      <w:r>
        <w:t xml:space="preserve">“Statutory construction begins with the plain language of the statute, and ordinary, popular understanding of the English language dictates interpretation of its terminology.” </w:t>
      </w:r>
      <w:r w:rsidRPr="00A1549D">
        <w:rPr>
          <w:i/>
        </w:rPr>
        <w:t>City of Baltimore Dev. Corp. v. Carmel Realty Associates</w:t>
      </w:r>
      <w:r>
        <w:t xml:space="preserve">, 395 Md. 299, 318, 910 A.2d 406, 417 (2006). </w:t>
      </w:r>
      <w:r>
        <w:rPr>
          <w:rFonts w:eastAsia="Times New Roman"/>
          <w:szCs w:val="24"/>
          <w:lang w:eastAsia="ko-KR"/>
        </w:rPr>
        <w:t>Section 101(2) defines that a “work made for hire” is established “</w:t>
      </w:r>
      <w:r w:rsidRPr="00863478">
        <w:rPr>
          <w:rFonts w:eastAsia="Times New Roman"/>
          <w:i/>
          <w:szCs w:val="24"/>
          <w:lang w:eastAsia="ko-KR"/>
        </w:rPr>
        <w:t>if</w:t>
      </w:r>
      <w:r>
        <w:rPr>
          <w:rFonts w:eastAsia="Times New Roman"/>
          <w:szCs w:val="24"/>
          <w:lang w:eastAsia="ko-KR"/>
        </w:rPr>
        <w:t xml:space="preserve"> the parties expressly agree in a written instrument signed by them that the work shall be considered a work made for hire…” </w:t>
      </w:r>
      <w:r>
        <w:t>“[A]</w:t>
      </w:r>
      <w:proofErr w:type="spellStart"/>
      <w:r>
        <w:t>bsent</w:t>
      </w:r>
      <w:proofErr w:type="spellEnd"/>
      <w:r>
        <w:t xml:space="preserve"> a statutory definition, the words used in the statute will be given their plain and ordinary meaning as derived from the dictionary.” </w:t>
      </w:r>
      <w:r>
        <w:rPr>
          <w:rStyle w:val="Emphasis"/>
        </w:rPr>
        <w:t>Columbia Athletic Club v. Dir. of Revenue,</w:t>
      </w:r>
      <w:r>
        <w:t xml:space="preserve"> 961 S.W.2d 806, 809 (Mo. banc 1998). </w:t>
      </w:r>
      <w:r w:rsidR="00915863">
        <w:t xml:space="preserve">The dictionary is often a useful tool in determining the ordinary meaning of statutory language. </w:t>
      </w:r>
      <w:proofErr w:type="gramStart"/>
      <w:r w:rsidR="00915863" w:rsidRPr="00915863">
        <w:rPr>
          <w:i/>
        </w:rPr>
        <w:t>State v. Payne</w:t>
      </w:r>
      <w:r w:rsidR="00915863">
        <w:t>, 250 S.W.3d 815, 820 (Mo. Ct. App. 2008)</w:t>
      </w:r>
      <w:r w:rsidR="003404A4">
        <w:t>.</w:t>
      </w:r>
      <w:proofErr w:type="gramEnd"/>
      <w:r w:rsidR="003404A4">
        <w:t xml:space="preserve"> </w:t>
      </w:r>
    </w:p>
    <w:p w14:paraId="608E9580" w14:textId="77777777" w:rsidR="005D26F9" w:rsidRPr="005D26F9" w:rsidRDefault="005D26F9" w:rsidP="009C4A0D">
      <w:pPr>
        <w:ind w:firstLine="720"/>
      </w:pPr>
      <w:r>
        <w:rPr>
          <w:rFonts w:eastAsia="Times New Roman"/>
          <w:szCs w:val="24"/>
          <w:lang w:eastAsia="ko-KR"/>
        </w:rPr>
        <w:t xml:space="preserve">Merriam-Webster’s Dictionary (2012), defines the word “if” as, “in the event that; allowing that; on the assumption that or </w:t>
      </w:r>
      <w:r w:rsidRPr="00BA394C">
        <w:rPr>
          <w:rFonts w:eastAsia="Times New Roman"/>
          <w:i/>
          <w:szCs w:val="24"/>
          <w:lang w:eastAsia="ko-KR"/>
        </w:rPr>
        <w:t>on condition that</w:t>
      </w:r>
      <w:r>
        <w:rPr>
          <w:rFonts w:eastAsia="Times New Roman"/>
          <w:szCs w:val="24"/>
          <w:lang w:eastAsia="ko-KR"/>
        </w:rPr>
        <w:t xml:space="preserve">.” This meaning would render the written agreement a condition </w:t>
      </w:r>
      <w:r w:rsidR="00186342">
        <w:rPr>
          <w:rFonts w:eastAsia="Times New Roman"/>
          <w:szCs w:val="24"/>
          <w:lang w:eastAsia="ko-KR"/>
        </w:rPr>
        <w:t>precedent in order</w:t>
      </w:r>
      <w:r>
        <w:rPr>
          <w:rFonts w:eastAsia="Times New Roman"/>
          <w:szCs w:val="24"/>
          <w:lang w:eastAsia="ko-KR"/>
        </w:rPr>
        <w:t xml:space="preserve"> </w:t>
      </w:r>
      <w:r w:rsidR="00BA394C">
        <w:rPr>
          <w:rFonts w:eastAsia="Times New Roman"/>
          <w:szCs w:val="24"/>
          <w:lang w:eastAsia="ko-KR"/>
        </w:rPr>
        <w:t>for the screenplay to be considered a work made for hire</w:t>
      </w:r>
      <w:r>
        <w:rPr>
          <w:rFonts w:eastAsia="Times New Roman"/>
          <w:szCs w:val="24"/>
          <w:lang w:eastAsia="ko-KR"/>
        </w:rPr>
        <w:t xml:space="preserve">. </w:t>
      </w:r>
      <w:r w:rsidR="00697F73">
        <w:t xml:space="preserve">The Attorney General opinion on Probate Code § 1543 stated that </w:t>
      </w:r>
      <w:r w:rsidR="0075656E">
        <w:t>“[t]</w:t>
      </w:r>
      <w:r>
        <w:t>he requirement in subdivision (a) for a ‘suitability report’ appears as the conclusion or main clause (i.e., the apodosis) of the conditional sentence, ‘[</w:t>
      </w:r>
      <w:proofErr w:type="spellStart"/>
      <w:r>
        <w:t>i</w:t>
      </w:r>
      <w:proofErr w:type="spellEnd"/>
      <w:r>
        <w:t xml:space="preserve">]f the petition as filed or as amended states that an adoption petition has been filed, a report with respect to the suitability of the proposed </w:t>
      </w:r>
      <w:r>
        <w:lastRenderedPageBreak/>
        <w:t xml:space="preserve">guardian for guardianship </w:t>
      </w:r>
      <w:r w:rsidRPr="0075656E">
        <w:t xml:space="preserve">shall </w:t>
      </w:r>
      <w:r>
        <w:t>be filed with the court by the agen</w:t>
      </w:r>
      <w:r w:rsidR="0075656E">
        <w:t xml:space="preserve">cy investigating the adoption.’” 64 Cal. Op. </w:t>
      </w:r>
      <w:proofErr w:type="spellStart"/>
      <w:r w:rsidR="0075656E">
        <w:t>Att'y</w:t>
      </w:r>
      <w:proofErr w:type="spellEnd"/>
      <w:r w:rsidR="0075656E">
        <w:t xml:space="preserve"> Gen. 455 (1981) (citing </w:t>
      </w:r>
      <w:proofErr w:type="spellStart"/>
      <w:r w:rsidR="0075656E">
        <w:t>Kittridge</w:t>
      </w:r>
      <w:proofErr w:type="spellEnd"/>
      <w:r w:rsidR="0075656E">
        <w:t xml:space="preserve"> &amp; Farley, </w:t>
      </w:r>
      <w:r w:rsidR="0075656E">
        <w:rPr>
          <w:rStyle w:val="counderline"/>
        </w:rPr>
        <w:t>An Advanced English Grammar</w:t>
      </w:r>
      <w:r w:rsidR="0075656E">
        <w:t xml:space="preserve"> (Boston: </w:t>
      </w:r>
      <w:proofErr w:type="spellStart"/>
      <w:r w:rsidR="0075656E">
        <w:t>Ginn</w:t>
      </w:r>
      <w:proofErr w:type="spellEnd"/>
      <w:r w:rsidR="0075656E">
        <w:t xml:space="preserve"> &amp; Co., 1913), §§ 411-412, pp. 167, 168; cf. provisos, e.g., </w:t>
      </w:r>
      <w:proofErr w:type="spellStart"/>
      <w:r w:rsidR="0075656E" w:rsidRPr="005D26F9">
        <w:rPr>
          <w:rStyle w:val="counderline"/>
          <w:i/>
        </w:rPr>
        <w:t>Mc</w:t>
      </w:r>
      <w:proofErr w:type="spellEnd"/>
      <w:r w:rsidR="0075656E" w:rsidRPr="005D26F9">
        <w:rPr>
          <w:rStyle w:val="counderline"/>
          <w:i/>
        </w:rPr>
        <w:t xml:space="preserve"> Alpine</w:t>
      </w:r>
      <w:r w:rsidR="0075656E" w:rsidRPr="005D26F9">
        <w:rPr>
          <w:i/>
        </w:rPr>
        <w:t xml:space="preserve"> v. </w:t>
      </w:r>
      <w:r w:rsidR="0075656E" w:rsidRPr="005D26F9">
        <w:rPr>
          <w:rStyle w:val="counderline"/>
          <w:i/>
        </w:rPr>
        <w:t>Baumgartner</w:t>
      </w:r>
      <w:r w:rsidR="0075656E">
        <w:t xml:space="preserve"> (1937) 10 Cal.2d 409, 417; </w:t>
      </w:r>
      <w:proofErr w:type="spellStart"/>
      <w:r w:rsidR="0075656E" w:rsidRPr="005D26F9">
        <w:rPr>
          <w:rStyle w:val="counderline"/>
          <w:i/>
        </w:rPr>
        <w:t>Dupuy</w:t>
      </w:r>
      <w:proofErr w:type="spellEnd"/>
      <w:r w:rsidR="0075656E" w:rsidRPr="005D26F9">
        <w:rPr>
          <w:i/>
        </w:rPr>
        <w:t xml:space="preserve"> v. </w:t>
      </w:r>
      <w:r w:rsidR="0075656E" w:rsidRPr="005D26F9">
        <w:rPr>
          <w:rStyle w:val="counderline"/>
          <w:i/>
        </w:rPr>
        <w:t>Board of Education</w:t>
      </w:r>
      <w:r w:rsidR="0075656E">
        <w:t xml:space="preserve"> (1930) 106 </w:t>
      </w:r>
      <w:proofErr w:type="spellStart"/>
      <w:r w:rsidR="0075656E">
        <w:t>Cal.App</w:t>
      </w:r>
      <w:proofErr w:type="spellEnd"/>
      <w:r w:rsidR="0075656E">
        <w:t xml:space="preserve">. 533, 538; </w:t>
      </w:r>
      <w:r w:rsidR="0075656E" w:rsidRPr="005D26F9">
        <w:rPr>
          <w:rStyle w:val="counderline"/>
          <w:i/>
        </w:rPr>
        <w:t>Livermore</w:t>
      </w:r>
      <w:r w:rsidR="0075656E" w:rsidRPr="005D26F9">
        <w:rPr>
          <w:i/>
        </w:rPr>
        <w:t xml:space="preserve"> v. </w:t>
      </w:r>
      <w:r w:rsidR="0075656E" w:rsidRPr="005D26F9">
        <w:rPr>
          <w:rStyle w:val="counderline"/>
          <w:i/>
        </w:rPr>
        <w:t>Waite</w:t>
      </w:r>
      <w:r w:rsidR="0075656E">
        <w:t xml:space="preserve"> (1994) 102 Cal. 113, 121-122; 58 Cal.Jur.3d, Statutes, § 117). “</w:t>
      </w:r>
      <w:r>
        <w:t xml:space="preserve">By rules of grammar the operation of such a clause is effective only when the condition expressed in the ‘if'-clause (i.e., the subordinate (adverbial) clause, the conditional clause, or the </w:t>
      </w:r>
      <w:proofErr w:type="spellStart"/>
      <w:r>
        <w:t>protasis</w:t>
      </w:r>
      <w:proofErr w:type="spellEnd"/>
      <w:r>
        <w:t>) is true.</w:t>
      </w:r>
      <w:r w:rsidR="00697F73">
        <w:t>”</w:t>
      </w:r>
      <w:r>
        <w:t xml:space="preserve"> </w:t>
      </w:r>
      <w:r w:rsidR="0075656E" w:rsidRPr="0075656E">
        <w:rPr>
          <w:i/>
        </w:rPr>
        <w:t>Id.</w:t>
      </w:r>
      <w:r w:rsidR="0075656E">
        <w:t xml:space="preserve"> </w:t>
      </w:r>
      <w:r w:rsidR="00697F73">
        <w:t xml:space="preserve">Thus, the work is considered work made for hire only if the parties had expressly agreed in a written agreement. Where a written agreement has not been executed, the work created would not be considered work made for hire. </w:t>
      </w:r>
    </w:p>
    <w:p w14:paraId="590A2717" w14:textId="77777777" w:rsidR="0034219B" w:rsidRPr="0075449A" w:rsidRDefault="009D1F29" w:rsidP="009C4A0D">
      <w:r>
        <w:rPr>
          <w:rFonts w:eastAsia="Times New Roman"/>
          <w:szCs w:val="24"/>
          <w:lang w:eastAsia="ko-KR"/>
        </w:rPr>
        <w:tab/>
      </w:r>
      <w:r w:rsidR="009F3CE6">
        <w:rPr>
          <w:rFonts w:eastAsia="Times New Roman"/>
          <w:szCs w:val="24"/>
          <w:lang w:eastAsia="ko-KR"/>
        </w:rPr>
        <w:t xml:space="preserve">Furthermore, </w:t>
      </w:r>
      <w:r w:rsidR="00BE640A" w:rsidRPr="00BE640A">
        <w:rPr>
          <w:rFonts w:eastAsia="Times New Roman"/>
          <w:szCs w:val="24"/>
          <w:lang w:eastAsia="ko-KR"/>
        </w:rPr>
        <w:t xml:space="preserve">Section 101(2) requires the parties to “expressly agree in a written instrument signed by them that the work </w:t>
      </w:r>
      <w:r w:rsidR="00BE640A" w:rsidRPr="00BE640A">
        <w:rPr>
          <w:rFonts w:eastAsia="Times New Roman"/>
          <w:i/>
          <w:szCs w:val="24"/>
          <w:lang w:eastAsia="ko-KR"/>
        </w:rPr>
        <w:t>shall</w:t>
      </w:r>
      <w:r w:rsidR="00BE640A" w:rsidRPr="00BE640A">
        <w:rPr>
          <w:rFonts w:eastAsia="Times New Roman"/>
          <w:szCs w:val="24"/>
          <w:lang w:eastAsia="ko-KR"/>
        </w:rPr>
        <w:t xml:space="preserve"> be considered a work made for hire.” </w:t>
      </w:r>
      <w:proofErr w:type="gramStart"/>
      <w:r w:rsidR="00BE640A" w:rsidRPr="00BE640A">
        <w:rPr>
          <w:rFonts w:eastAsia="Times New Roman"/>
          <w:szCs w:val="24"/>
          <w:lang w:eastAsia="ko-KR"/>
        </w:rPr>
        <w:t>17 U.S.C § 101(2).</w:t>
      </w:r>
      <w:proofErr w:type="gramEnd"/>
      <w:r w:rsidR="00BE640A">
        <w:rPr>
          <w:rFonts w:eastAsia="Times New Roman"/>
          <w:szCs w:val="24"/>
          <w:lang w:eastAsia="ko-KR"/>
        </w:rPr>
        <w:t xml:space="preserve"> </w:t>
      </w:r>
      <w:r w:rsidR="003404A4">
        <w:rPr>
          <w:rFonts w:eastAsia="Times New Roman"/>
          <w:szCs w:val="24"/>
          <w:lang w:eastAsia="ko-KR"/>
        </w:rPr>
        <w:t>Merriam-Webster’s D</w:t>
      </w:r>
      <w:r>
        <w:rPr>
          <w:rFonts w:eastAsia="Times New Roman"/>
          <w:szCs w:val="24"/>
          <w:lang w:eastAsia="ko-KR"/>
        </w:rPr>
        <w:t xml:space="preserve">ictionary </w:t>
      </w:r>
      <w:r w:rsidR="003404A4">
        <w:rPr>
          <w:rFonts w:eastAsia="Times New Roman"/>
          <w:szCs w:val="24"/>
          <w:lang w:eastAsia="ko-KR"/>
        </w:rPr>
        <w:t>(2012), defines</w:t>
      </w:r>
      <w:r>
        <w:rPr>
          <w:rFonts w:eastAsia="Times New Roman"/>
          <w:szCs w:val="24"/>
          <w:lang w:eastAsia="ko-KR"/>
        </w:rPr>
        <w:t xml:space="preserve"> the word </w:t>
      </w:r>
      <w:r w:rsidR="00BE640A">
        <w:rPr>
          <w:rFonts w:eastAsia="Times New Roman"/>
          <w:szCs w:val="24"/>
          <w:lang w:eastAsia="ko-KR"/>
        </w:rPr>
        <w:t>“</w:t>
      </w:r>
      <w:r w:rsidRPr="00BE640A">
        <w:rPr>
          <w:rFonts w:eastAsia="Times New Roman"/>
          <w:szCs w:val="24"/>
          <w:lang w:eastAsia="ko-KR"/>
        </w:rPr>
        <w:t>shall</w:t>
      </w:r>
      <w:r w:rsidR="00BE640A">
        <w:rPr>
          <w:rFonts w:eastAsia="Times New Roman"/>
          <w:szCs w:val="24"/>
          <w:lang w:eastAsia="ko-KR"/>
        </w:rPr>
        <w:t>”</w:t>
      </w:r>
      <w:r w:rsidR="003404A4" w:rsidRPr="00BE640A">
        <w:rPr>
          <w:rFonts w:eastAsia="Times New Roman"/>
          <w:szCs w:val="24"/>
          <w:lang w:eastAsia="ko-KR"/>
        </w:rPr>
        <w:t xml:space="preserve"> </w:t>
      </w:r>
      <w:r w:rsidR="003404A4">
        <w:rPr>
          <w:rFonts w:eastAsia="Times New Roman"/>
          <w:szCs w:val="24"/>
          <w:lang w:eastAsia="ko-KR"/>
        </w:rPr>
        <w:t>a</w:t>
      </w:r>
      <w:r>
        <w:rPr>
          <w:rFonts w:eastAsia="Times New Roman"/>
          <w:szCs w:val="24"/>
          <w:lang w:eastAsia="ko-KR"/>
        </w:rPr>
        <w:t>s</w:t>
      </w:r>
      <w:r w:rsidR="003404A4">
        <w:rPr>
          <w:rFonts w:eastAsia="Times New Roman"/>
          <w:szCs w:val="24"/>
          <w:lang w:eastAsia="ko-KR"/>
        </w:rPr>
        <w:t>,</w:t>
      </w:r>
      <w:r>
        <w:rPr>
          <w:rFonts w:eastAsia="Times New Roman"/>
          <w:szCs w:val="24"/>
          <w:lang w:eastAsia="ko-KR"/>
        </w:rPr>
        <w:t xml:space="preserve"> “</w:t>
      </w:r>
      <w:r w:rsidR="003404A4">
        <w:rPr>
          <w:rFonts w:eastAsia="Times New Roman"/>
          <w:szCs w:val="24"/>
          <w:lang w:eastAsia="ko-KR"/>
        </w:rPr>
        <w:t>will have to;</w:t>
      </w:r>
      <w:r>
        <w:rPr>
          <w:rFonts w:eastAsia="Times New Roman"/>
          <w:szCs w:val="24"/>
          <w:lang w:eastAsia="ko-KR"/>
        </w:rPr>
        <w:t xml:space="preserve"> used to express what is inevitable or seems likely to happen in the </w:t>
      </w:r>
      <w:r w:rsidRPr="00A1549D">
        <w:rPr>
          <w:rFonts w:eastAsia="Times New Roman"/>
          <w:i/>
          <w:szCs w:val="24"/>
          <w:lang w:eastAsia="ko-KR"/>
        </w:rPr>
        <w:t>future</w:t>
      </w:r>
      <w:r w:rsidR="003404A4">
        <w:rPr>
          <w:rFonts w:eastAsia="Times New Roman"/>
          <w:szCs w:val="24"/>
          <w:lang w:eastAsia="ko-KR"/>
        </w:rPr>
        <w:t>;</w:t>
      </w:r>
      <w:r>
        <w:rPr>
          <w:rFonts w:eastAsia="Times New Roman"/>
          <w:szCs w:val="24"/>
          <w:lang w:eastAsia="ko-KR"/>
        </w:rPr>
        <w:t xml:space="preserve"> or used to express simple </w:t>
      </w:r>
      <w:r w:rsidRPr="00A1549D">
        <w:rPr>
          <w:rFonts w:eastAsia="Times New Roman"/>
          <w:i/>
          <w:szCs w:val="24"/>
          <w:lang w:eastAsia="ko-KR"/>
        </w:rPr>
        <w:t>futurity</w:t>
      </w:r>
      <w:r>
        <w:rPr>
          <w:rFonts w:eastAsia="Times New Roman"/>
          <w:szCs w:val="24"/>
          <w:lang w:eastAsia="ko-KR"/>
        </w:rPr>
        <w:t xml:space="preserve">.” </w:t>
      </w:r>
      <w:r w:rsidR="0075449A">
        <w:rPr>
          <w:rFonts w:eastAsia="Times New Roman"/>
          <w:szCs w:val="24"/>
          <w:lang w:eastAsia="ko-KR"/>
        </w:rPr>
        <w:t xml:space="preserve">According to the court in </w:t>
      </w:r>
      <w:r w:rsidR="0075449A" w:rsidRPr="0075449A">
        <w:rPr>
          <w:rFonts w:eastAsia="Times New Roman"/>
          <w:i/>
          <w:szCs w:val="24"/>
          <w:lang w:eastAsia="ko-KR"/>
        </w:rPr>
        <w:t>Alden v. City of Newark</w:t>
      </w:r>
      <w:r w:rsidR="0075449A">
        <w:rPr>
          <w:rFonts w:eastAsia="Times New Roman"/>
          <w:szCs w:val="24"/>
          <w:lang w:eastAsia="ko-KR"/>
        </w:rPr>
        <w:t xml:space="preserve">, the terms </w:t>
      </w:r>
      <w:r w:rsidR="0075656E">
        <w:rPr>
          <w:rFonts w:eastAsia="Times New Roman"/>
          <w:szCs w:val="24"/>
          <w:lang w:eastAsia="ko-KR"/>
        </w:rPr>
        <w:t>“</w:t>
      </w:r>
      <w:r w:rsidR="0075656E">
        <w:t>‘s</w:t>
      </w:r>
      <w:r w:rsidR="0034219B">
        <w:t>hall be</w:t>
      </w:r>
      <w:r w:rsidR="008F02A1">
        <w:t xml:space="preserve">’ </w:t>
      </w:r>
      <w:r w:rsidR="0034219B">
        <w:t>represents what will take place in future time.</w:t>
      </w:r>
      <w:r w:rsidR="0075656E">
        <w:t xml:space="preserve">” </w:t>
      </w:r>
      <w:r w:rsidR="0075656E" w:rsidRPr="0034219B">
        <w:rPr>
          <w:i/>
        </w:rPr>
        <w:t>Alden v. City of Newark</w:t>
      </w:r>
      <w:r w:rsidR="0075656E">
        <w:t>, 40 N.J.L. 92, 96 (Sup. Ct. 1878).</w:t>
      </w:r>
      <w:r w:rsidR="0034219B">
        <w:t xml:space="preserve"> </w:t>
      </w:r>
      <w:r w:rsidR="0075656E">
        <w:t>“</w:t>
      </w:r>
      <w:r w:rsidR="00EC570A">
        <w:t xml:space="preserve">If the legislature had intended to make the law retroactive, it would have been easy to express it by the use of the words </w:t>
      </w:r>
      <w:r w:rsidR="00EC570A">
        <w:rPr>
          <w:rStyle w:val="Emphasis"/>
        </w:rPr>
        <w:t>has been</w:t>
      </w:r>
      <w:r w:rsidR="00EC570A">
        <w:t xml:space="preserve"> or </w:t>
      </w:r>
      <w:r w:rsidR="00EC570A">
        <w:rPr>
          <w:rStyle w:val="Emphasis"/>
        </w:rPr>
        <w:t>had been,</w:t>
      </w:r>
      <w:r w:rsidR="00EC570A">
        <w:t xml:space="preserve"> in the present or past perfect tense, or other equivalent words.</w:t>
      </w:r>
      <w:r w:rsidR="0075449A">
        <w:t xml:space="preserve">” </w:t>
      </w:r>
      <w:r w:rsidR="0075656E" w:rsidRPr="0075656E">
        <w:rPr>
          <w:i/>
        </w:rPr>
        <w:t>Id.</w:t>
      </w:r>
      <w:r w:rsidR="0075656E">
        <w:t xml:space="preserve"> </w:t>
      </w:r>
      <w:r w:rsidR="00AB61F4">
        <w:rPr>
          <w:rFonts w:eastAsia="Times New Roman"/>
          <w:szCs w:val="24"/>
          <w:lang w:eastAsia="ko-KR"/>
        </w:rPr>
        <w:t xml:space="preserve">The statute in this case is written in the future tense. When </w:t>
      </w:r>
      <w:r w:rsidR="008F02A1">
        <w:rPr>
          <w:rFonts w:eastAsia="Times New Roman"/>
          <w:szCs w:val="24"/>
          <w:lang w:eastAsia="ko-KR"/>
        </w:rPr>
        <w:t>the</w:t>
      </w:r>
      <w:r w:rsidR="00AB61F4">
        <w:rPr>
          <w:rFonts w:eastAsia="Times New Roman"/>
          <w:szCs w:val="24"/>
          <w:lang w:eastAsia="ko-KR"/>
        </w:rPr>
        <w:t xml:space="preserve"> statute is read in the future tense, the work made for hire would only be created subsequent to the written agreement</w:t>
      </w:r>
      <w:r w:rsidR="0075656E">
        <w:rPr>
          <w:rFonts w:eastAsia="Times New Roman"/>
          <w:szCs w:val="24"/>
          <w:lang w:eastAsia="ko-KR"/>
        </w:rPr>
        <w:t>, signed by</w:t>
      </w:r>
      <w:r w:rsidR="00AB61F4">
        <w:rPr>
          <w:rFonts w:eastAsia="Times New Roman"/>
          <w:szCs w:val="24"/>
          <w:lang w:eastAsia="ko-KR"/>
        </w:rPr>
        <w:t xml:space="preserve"> both parties</w:t>
      </w:r>
      <w:r w:rsidR="00AB61F4" w:rsidRPr="0034219B">
        <w:rPr>
          <w:rFonts w:eastAsia="Times New Roman"/>
          <w:szCs w:val="24"/>
          <w:lang w:eastAsia="ko-KR"/>
        </w:rPr>
        <w:t>.</w:t>
      </w:r>
      <w:r w:rsidR="0034219B">
        <w:rPr>
          <w:rFonts w:eastAsia="Times New Roman"/>
          <w:szCs w:val="24"/>
          <w:lang w:eastAsia="ko-KR"/>
        </w:rPr>
        <w:t xml:space="preserve"> </w:t>
      </w:r>
      <w:r w:rsidR="0075449A">
        <w:rPr>
          <w:rFonts w:eastAsia="Times New Roman"/>
          <w:szCs w:val="24"/>
          <w:lang w:eastAsia="ko-KR"/>
        </w:rPr>
        <w:t>“</w:t>
      </w:r>
      <w:r w:rsidR="0075449A">
        <w:t xml:space="preserve">The court [should] not assume that the draughtsman of the act was a bad grammarian, in order to make the law retroactive, when there is no other expression in it which indicates such a purpose.” </w:t>
      </w:r>
      <w:r w:rsidR="0075449A" w:rsidRPr="0075449A">
        <w:rPr>
          <w:i/>
        </w:rPr>
        <w:t xml:space="preserve">Id. </w:t>
      </w:r>
    </w:p>
    <w:p w14:paraId="758A8427" w14:textId="77777777" w:rsidR="000E4005" w:rsidRDefault="00BA394C" w:rsidP="009C4A0D">
      <w:pPr>
        <w:ind w:firstLine="720"/>
        <w:rPr>
          <w:rFonts w:eastAsia="Times New Roman"/>
          <w:szCs w:val="24"/>
          <w:lang w:eastAsia="ko-KR"/>
        </w:rPr>
      </w:pPr>
      <w:r>
        <w:rPr>
          <w:rFonts w:eastAsia="Times New Roman"/>
          <w:szCs w:val="24"/>
          <w:lang w:eastAsia="ko-KR"/>
        </w:rPr>
        <w:lastRenderedPageBreak/>
        <w:t>T</w:t>
      </w:r>
      <w:r w:rsidR="00C61EC1">
        <w:rPr>
          <w:rFonts w:eastAsia="Times New Roman"/>
          <w:szCs w:val="24"/>
          <w:lang w:eastAsia="ko-KR"/>
        </w:rPr>
        <w:t>he Plaintiff would argue that the statute is completely silent as to wh</w:t>
      </w:r>
      <w:r w:rsidR="00A1549D">
        <w:rPr>
          <w:rFonts w:eastAsia="Times New Roman"/>
          <w:szCs w:val="24"/>
          <w:lang w:eastAsia="ko-KR"/>
        </w:rPr>
        <w:t>en the writing must be executed, t</w:t>
      </w:r>
      <w:r w:rsidR="00C61EC1">
        <w:rPr>
          <w:rFonts w:eastAsia="Times New Roman"/>
          <w:szCs w:val="24"/>
          <w:lang w:eastAsia="ko-KR"/>
        </w:rPr>
        <w:t xml:space="preserve">hus, it must be presumed that there is no requirement that the writing must be executed prior to creation of the work. </w:t>
      </w:r>
      <w:r w:rsidR="008067D0">
        <w:rPr>
          <w:rFonts w:eastAsia="Times New Roman"/>
          <w:szCs w:val="24"/>
          <w:lang w:eastAsia="ko-KR"/>
        </w:rPr>
        <w:t>It is true, “a</w:t>
      </w:r>
      <w:r w:rsidR="00B87119">
        <w:rPr>
          <w:rFonts w:eastAsia="Times New Roman"/>
          <w:szCs w:val="24"/>
          <w:lang w:eastAsia="ko-KR"/>
        </w:rPr>
        <w:t xml:space="preserve">s one court has aptly put it, ‘[n]ot every silence is pregnant.” </w:t>
      </w:r>
      <w:r w:rsidR="00B87119" w:rsidRPr="00B87119">
        <w:rPr>
          <w:rFonts w:eastAsia="Times New Roman"/>
          <w:i/>
          <w:szCs w:val="24"/>
          <w:lang w:eastAsia="ko-KR"/>
        </w:rPr>
        <w:t>B</w:t>
      </w:r>
      <w:r w:rsidR="00B87119">
        <w:rPr>
          <w:rFonts w:eastAsia="Times New Roman"/>
          <w:i/>
          <w:szCs w:val="24"/>
          <w:lang w:eastAsia="ko-KR"/>
        </w:rPr>
        <w:t>urns v.</w:t>
      </w:r>
      <w:r w:rsidR="00B87119" w:rsidRPr="00B87119">
        <w:rPr>
          <w:rFonts w:eastAsia="Times New Roman"/>
          <w:i/>
          <w:szCs w:val="24"/>
          <w:lang w:eastAsia="ko-KR"/>
        </w:rPr>
        <w:t xml:space="preserve"> United States</w:t>
      </w:r>
      <w:r w:rsidR="00B87119">
        <w:rPr>
          <w:rFonts w:eastAsia="Times New Roman"/>
          <w:szCs w:val="24"/>
          <w:lang w:eastAsia="ko-KR"/>
        </w:rPr>
        <w:t xml:space="preserve">, 501 U.S. 129, 136 (1991) (quoting </w:t>
      </w:r>
      <w:r w:rsidR="00B87119" w:rsidRPr="00B87119">
        <w:rPr>
          <w:rFonts w:eastAsia="Times New Roman"/>
          <w:i/>
          <w:szCs w:val="24"/>
          <w:lang w:eastAsia="ko-KR"/>
        </w:rPr>
        <w:t>Illinois Dep’t of Public Aid v. Schweiker</w:t>
      </w:r>
      <w:r w:rsidR="007C37D5">
        <w:rPr>
          <w:rFonts w:eastAsia="Times New Roman"/>
          <w:szCs w:val="24"/>
          <w:lang w:eastAsia="ko-KR"/>
        </w:rPr>
        <w:t>, 707 F.2d 273, 277 (7th</w:t>
      </w:r>
      <w:r w:rsidR="00B87119">
        <w:rPr>
          <w:rFonts w:eastAsia="Times New Roman"/>
          <w:szCs w:val="24"/>
          <w:lang w:eastAsia="ko-KR"/>
        </w:rPr>
        <w:t xml:space="preserve"> Cir. 1983)). “In some cases, Congress intends silence to rule out a particular statutory application, while in others Congress’ silence signifies merely an expectation that nothing more need be said in order to effectuate the relevant legislative objective.</w:t>
      </w:r>
      <w:r w:rsidR="007C37D5">
        <w:rPr>
          <w:rFonts w:eastAsia="Times New Roman"/>
          <w:szCs w:val="24"/>
          <w:lang w:eastAsia="ko-KR"/>
        </w:rPr>
        <w:t>”</w:t>
      </w:r>
      <w:r w:rsidR="00B87119">
        <w:rPr>
          <w:rFonts w:eastAsia="Times New Roman"/>
          <w:szCs w:val="24"/>
          <w:lang w:eastAsia="ko-KR"/>
        </w:rPr>
        <w:t xml:space="preserve"> </w:t>
      </w:r>
      <w:r w:rsidR="00B87119" w:rsidRPr="00B87119">
        <w:rPr>
          <w:rFonts w:eastAsia="Times New Roman"/>
          <w:i/>
          <w:szCs w:val="24"/>
          <w:lang w:eastAsia="ko-KR"/>
        </w:rPr>
        <w:t>Burns</w:t>
      </w:r>
      <w:r w:rsidR="00B87119">
        <w:rPr>
          <w:rFonts w:eastAsia="Times New Roman"/>
          <w:szCs w:val="24"/>
          <w:lang w:eastAsia="ko-KR"/>
        </w:rPr>
        <w:t>, 501 U.S. at 129. “An inference drawn from congressional silence certainly cannot be credited when it is contrary to all other textual and contextual evidence of congressional intent.</w:t>
      </w:r>
      <w:r w:rsidR="007C37D5">
        <w:rPr>
          <w:rFonts w:eastAsia="Times New Roman"/>
          <w:szCs w:val="24"/>
          <w:lang w:eastAsia="ko-KR"/>
        </w:rPr>
        <w:t>”</w:t>
      </w:r>
      <w:r w:rsidR="00B87119">
        <w:rPr>
          <w:rFonts w:eastAsia="Times New Roman"/>
          <w:szCs w:val="24"/>
          <w:lang w:eastAsia="ko-KR"/>
        </w:rPr>
        <w:t xml:space="preserve"> </w:t>
      </w:r>
      <w:r w:rsidR="00B87119" w:rsidRPr="00B87119">
        <w:rPr>
          <w:rFonts w:eastAsia="Times New Roman"/>
          <w:i/>
          <w:szCs w:val="24"/>
          <w:lang w:eastAsia="ko-KR"/>
        </w:rPr>
        <w:t>Id</w:t>
      </w:r>
      <w:r w:rsidR="00B87119">
        <w:rPr>
          <w:rFonts w:eastAsia="Times New Roman"/>
          <w:szCs w:val="24"/>
          <w:lang w:eastAsia="ko-KR"/>
        </w:rPr>
        <w:t xml:space="preserve">. </w:t>
      </w:r>
    </w:p>
    <w:p w14:paraId="5DFCD476" w14:textId="77777777" w:rsidR="0036521D" w:rsidRPr="00572DD4" w:rsidRDefault="00B87119" w:rsidP="009C4A0D">
      <w:pPr>
        <w:ind w:firstLine="720"/>
        <w:rPr>
          <w:rFonts w:eastAsia="Times New Roman"/>
          <w:szCs w:val="24"/>
          <w:lang w:eastAsia="ko-KR"/>
        </w:rPr>
      </w:pPr>
      <w:r>
        <w:rPr>
          <w:rFonts w:eastAsia="Times New Roman"/>
          <w:szCs w:val="24"/>
          <w:lang w:eastAsia="ko-KR"/>
        </w:rPr>
        <w:t>In this case, the textual and contextual evidence of legislative intent</w:t>
      </w:r>
      <w:r w:rsidR="00415FDB">
        <w:rPr>
          <w:rFonts w:eastAsia="Times New Roman"/>
          <w:szCs w:val="24"/>
          <w:lang w:eastAsia="ko-KR"/>
        </w:rPr>
        <w:t xml:space="preserve">, which will be discussed in the </w:t>
      </w:r>
      <w:r w:rsidR="00F20A0B">
        <w:rPr>
          <w:rFonts w:eastAsia="Times New Roman"/>
          <w:szCs w:val="24"/>
          <w:lang w:eastAsia="ko-KR"/>
        </w:rPr>
        <w:t>next</w:t>
      </w:r>
      <w:r w:rsidR="00415FDB">
        <w:rPr>
          <w:rFonts w:eastAsia="Times New Roman"/>
          <w:szCs w:val="24"/>
          <w:lang w:eastAsia="ko-KR"/>
        </w:rPr>
        <w:t xml:space="preserve"> portion of this brief,</w:t>
      </w:r>
      <w:r>
        <w:rPr>
          <w:rFonts w:eastAsia="Times New Roman"/>
          <w:szCs w:val="24"/>
          <w:lang w:eastAsia="ko-KR"/>
        </w:rPr>
        <w:t xml:space="preserve"> indicates that Congress did not intend to allow the written agreement to oc</w:t>
      </w:r>
      <w:r w:rsidR="008067D0">
        <w:rPr>
          <w:rFonts w:eastAsia="Times New Roman"/>
          <w:szCs w:val="24"/>
          <w:lang w:eastAsia="ko-KR"/>
        </w:rPr>
        <w:t xml:space="preserve">cur after the work was created. </w:t>
      </w:r>
      <w:r w:rsidR="005D5507">
        <w:rPr>
          <w:rFonts w:eastAsia="Times New Roman"/>
          <w:szCs w:val="24"/>
          <w:lang w:eastAsia="ko-KR"/>
        </w:rPr>
        <w:t>Although Congress could have added the timing of the written agreement, congressional silence can signify an expectation that the written agreement occur prior to creation of the work.</w:t>
      </w:r>
      <w:r w:rsidR="00C61EC1">
        <w:rPr>
          <w:rFonts w:eastAsia="Times New Roman"/>
          <w:szCs w:val="24"/>
          <w:lang w:eastAsia="ko-KR"/>
        </w:rPr>
        <w:t xml:space="preserve"> </w:t>
      </w:r>
    </w:p>
    <w:p w14:paraId="476F9C4B" w14:textId="77777777" w:rsidR="0036521D" w:rsidRPr="00B51FD7" w:rsidRDefault="0036521D" w:rsidP="009C4A0D">
      <w:pPr>
        <w:pStyle w:val="ListParagraph"/>
        <w:spacing w:line="240" w:lineRule="auto"/>
        <w:ind w:left="1080"/>
        <w:rPr>
          <w:b/>
          <w:szCs w:val="24"/>
        </w:rPr>
      </w:pPr>
    </w:p>
    <w:p w14:paraId="1FCBB287" w14:textId="77777777" w:rsidR="00F20A0B" w:rsidRPr="00C97EB0" w:rsidRDefault="00F20A0B" w:rsidP="009C4A0D">
      <w:pPr>
        <w:pStyle w:val="ListParagraph"/>
        <w:numPr>
          <w:ilvl w:val="0"/>
          <w:numId w:val="12"/>
        </w:numPr>
        <w:spacing w:line="240" w:lineRule="auto"/>
        <w:rPr>
          <w:szCs w:val="24"/>
        </w:rPr>
      </w:pPr>
      <w:r w:rsidRPr="00011F82">
        <w:rPr>
          <w:b/>
          <w:szCs w:val="24"/>
        </w:rPr>
        <w:t>The History and Purpose of 17 U.S.C. §101(2) Confirm That Congress Intended to Require a Written Agreement Prior to Creation of Work.</w:t>
      </w:r>
      <w:r w:rsidRPr="00C97EB0">
        <w:rPr>
          <w:b/>
          <w:szCs w:val="24"/>
        </w:rPr>
        <w:br/>
      </w:r>
    </w:p>
    <w:p w14:paraId="648CB13E" w14:textId="77777777" w:rsidR="00F20A0B" w:rsidRPr="00A036A1" w:rsidRDefault="00F20A0B" w:rsidP="009C4A0D">
      <w:pPr>
        <w:ind w:firstLine="720"/>
      </w:pPr>
      <w:r>
        <w:rPr>
          <w:szCs w:val="24"/>
        </w:rPr>
        <w:t>“</w:t>
      </w:r>
      <w:r>
        <w:t xml:space="preserve">In every case of statutory interpretation, the aim is to discover legislative intent.” </w:t>
      </w:r>
      <w:proofErr w:type="spellStart"/>
      <w:proofErr w:type="gramStart"/>
      <w:r w:rsidRPr="00A036A1">
        <w:rPr>
          <w:i/>
        </w:rPr>
        <w:t>Femmer</w:t>
      </w:r>
      <w:proofErr w:type="spellEnd"/>
      <w:r w:rsidRPr="00A036A1">
        <w:rPr>
          <w:i/>
        </w:rPr>
        <w:t xml:space="preserve"> v. City of Juneau</w:t>
      </w:r>
      <w:r>
        <w:t>, 97 F.2d 649</w:t>
      </w:r>
      <w:r w:rsidR="00B07893">
        <w:t>, 315 (1938)</w:t>
      </w:r>
      <w:r>
        <w:t>.</w:t>
      </w:r>
      <w:proofErr w:type="gramEnd"/>
      <w:r>
        <w:t xml:space="preserve"> “[T]he intent of the legislature must govern and the policies and purposes of the statute should not be defeated.” </w:t>
      </w:r>
      <w:r w:rsidRPr="00A036A1">
        <w:rPr>
          <w:i/>
        </w:rPr>
        <w:t>Mechanical Contractors of Alaska, Inc. v. State, Dept. of Public Safety</w:t>
      </w:r>
      <w:r>
        <w:t>, 91 P.3d 240</w:t>
      </w:r>
      <w:r w:rsidR="00B07893">
        <w:t>, 248 (2004)</w:t>
      </w:r>
      <w:r>
        <w:t xml:space="preserve">. </w:t>
      </w:r>
      <w:r>
        <w:rPr>
          <w:szCs w:val="24"/>
        </w:rPr>
        <w:t xml:space="preserve">Because the statute is unambiguous, it is not necessary to rely on the legislative history. </w:t>
      </w:r>
      <w:r w:rsidRPr="002B0C6D">
        <w:rPr>
          <w:i/>
          <w:szCs w:val="24"/>
        </w:rPr>
        <w:t xml:space="preserve">See Mendoza-Gonzalez, </w:t>
      </w:r>
      <w:r w:rsidRPr="00D101C0">
        <w:rPr>
          <w:szCs w:val="24"/>
        </w:rPr>
        <w:t xml:space="preserve">520 </w:t>
      </w:r>
      <w:r w:rsidRPr="00D101C0">
        <w:rPr>
          <w:szCs w:val="24"/>
        </w:rPr>
        <w:lastRenderedPageBreak/>
        <w:t>F.3d at 914-15</w:t>
      </w:r>
      <w:r>
        <w:rPr>
          <w:szCs w:val="24"/>
        </w:rPr>
        <w:t>. But even if the legislative history were consu</w:t>
      </w:r>
      <w:r w:rsidR="00E96065">
        <w:rPr>
          <w:szCs w:val="24"/>
        </w:rPr>
        <w:t>lted, that history supports the Defendants’</w:t>
      </w:r>
      <w:r>
        <w:rPr>
          <w:szCs w:val="24"/>
        </w:rPr>
        <w:t xml:space="preserve"> position.</w:t>
      </w:r>
      <w:r w:rsidRPr="002B0C6D">
        <w:rPr>
          <w:i/>
          <w:szCs w:val="24"/>
        </w:rPr>
        <w:t xml:space="preserve"> </w:t>
      </w:r>
      <w:proofErr w:type="gramStart"/>
      <w:r w:rsidRPr="002B0C6D">
        <w:rPr>
          <w:i/>
          <w:szCs w:val="24"/>
        </w:rPr>
        <w:t>Id</w:t>
      </w:r>
      <w:r>
        <w:rPr>
          <w:szCs w:val="24"/>
        </w:rPr>
        <w:t>. at 917.</w:t>
      </w:r>
      <w:proofErr w:type="gramEnd"/>
      <w:r>
        <w:rPr>
          <w:szCs w:val="24"/>
        </w:rPr>
        <w:t xml:space="preserve"> </w:t>
      </w:r>
    </w:p>
    <w:p w14:paraId="04788D51" w14:textId="77777777" w:rsidR="00F20A0B" w:rsidRDefault="00F20A0B" w:rsidP="009C4A0D">
      <w:pPr>
        <w:ind w:firstLine="720"/>
        <w:rPr>
          <w:szCs w:val="24"/>
        </w:rPr>
      </w:pPr>
      <w:r>
        <w:rPr>
          <w:szCs w:val="24"/>
        </w:rPr>
        <w:t>T</w:t>
      </w:r>
      <w:r w:rsidRPr="007D35EE">
        <w:rPr>
          <w:szCs w:val="24"/>
        </w:rPr>
        <w:t xml:space="preserve">he drafter’s intention that the work for hire agreement be signed before the work is created was expressly noted in the legislative history. </w:t>
      </w:r>
      <w:r>
        <w:rPr>
          <w:szCs w:val="24"/>
        </w:rPr>
        <w:t xml:space="preserve">“Barbara Ringer of the U.S. Copyright Office testified before Congress that her understanding of the legislation that became the 1976 Act was that a work prepared on special order or commission would not be considered a ‘work made for hire’ if the written agreement was signed after the work was created. </w:t>
      </w:r>
      <w:r w:rsidRPr="00870765">
        <w:rPr>
          <w:i/>
          <w:szCs w:val="24"/>
        </w:rPr>
        <w:t>Playboy</w:t>
      </w:r>
      <w:r>
        <w:rPr>
          <w:szCs w:val="24"/>
        </w:rPr>
        <w:t xml:space="preserve">, 53 F.3d at 558 (citing </w:t>
      </w:r>
      <w:proofErr w:type="spellStart"/>
      <w:r>
        <w:rPr>
          <w:szCs w:val="24"/>
        </w:rPr>
        <w:t>H.R.Rep</w:t>
      </w:r>
      <w:proofErr w:type="spellEnd"/>
      <w:r>
        <w:rPr>
          <w:szCs w:val="24"/>
        </w:rPr>
        <w:t>. no. 51 374, 89</w:t>
      </w:r>
      <w:r w:rsidRPr="00556B57">
        <w:rPr>
          <w:szCs w:val="24"/>
          <w:vertAlign w:val="superscript"/>
        </w:rPr>
        <w:t>th</w:t>
      </w:r>
      <w:r>
        <w:rPr>
          <w:szCs w:val="24"/>
        </w:rPr>
        <w:t xml:space="preserve"> Cong., 1</w:t>
      </w:r>
      <w:r w:rsidRPr="00556B57">
        <w:rPr>
          <w:szCs w:val="24"/>
          <w:vertAlign w:val="superscript"/>
        </w:rPr>
        <w:t>st</w:t>
      </w:r>
      <w:r>
        <w:rPr>
          <w:szCs w:val="24"/>
        </w:rPr>
        <w:t xml:space="preserve"> Sess., Part 5, 1964 </w:t>
      </w:r>
      <w:r w:rsidRPr="00556B57">
        <w:rPr>
          <w:i/>
          <w:szCs w:val="24"/>
        </w:rPr>
        <w:t>Revision Bill with Discussion and Comments</w:t>
      </w:r>
      <w:r>
        <w:rPr>
          <w:szCs w:val="24"/>
        </w:rPr>
        <w:t>, at 145 (1965)). She stated that “i</w:t>
      </w:r>
      <w:r w:rsidRPr="007D35EE">
        <w:rPr>
          <w:szCs w:val="24"/>
        </w:rPr>
        <w:t>t would not be considered a ‘work made for hire’ if the contract were signed later on – after the work was written for example. [T]his was the basic reason for [their] acceptance of this compromise, at least there has to be a specific provision in the contract spe</w:t>
      </w:r>
      <w:r>
        <w:rPr>
          <w:szCs w:val="24"/>
        </w:rPr>
        <w:t>lling this out.</w:t>
      </w:r>
      <w:r w:rsidRPr="007D35EE">
        <w:rPr>
          <w:szCs w:val="24"/>
        </w:rPr>
        <w:t xml:space="preserve">” </w:t>
      </w:r>
      <w:proofErr w:type="gramStart"/>
      <w:r w:rsidRPr="007D35EE">
        <w:rPr>
          <w:szCs w:val="24"/>
        </w:rPr>
        <w:t>Staff of H. Comm. on the Judiciary, 89</w:t>
      </w:r>
      <w:r w:rsidRPr="007D35EE">
        <w:rPr>
          <w:szCs w:val="24"/>
          <w:vertAlign w:val="superscript"/>
        </w:rPr>
        <w:t>th</w:t>
      </w:r>
      <w:r w:rsidRPr="007D35EE">
        <w:rPr>
          <w:szCs w:val="24"/>
        </w:rPr>
        <w:t xml:space="preserve"> Cong.,</w:t>
      </w:r>
      <w:r w:rsidR="00FD07D9">
        <w:rPr>
          <w:szCs w:val="24"/>
        </w:rPr>
        <w:t xml:space="preserve"> </w:t>
      </w:r>
      <w:r w:rsidRPr="007D35EE">
        <w:rPr>
          <w:szCs w:val="24"/>
        </w:rPr>
        <w:t xml:space="preserve">Copyright Law </w:t>
      </w:r>
      <w:r w:rsidR="00FD07D9">
        <w:rPr>
          <w:szCs w:val="24"/>
        </w:rPr>
        <w:t xml:space="preserve">Revision, Part 5 144 </w:t>
      </w:r>
      <w:r w:rsidRPr="007D35EE">
        <w:rPr>
          <w:szCs w:val="24"/>
        </w:rPr>
        <w:t>(Comm. Print 1965).</w:t>
      </w:r>
      <w:proofErr w:type="gramEnd"/>
      <w:r>
        <w:rPr>
          <w:szCs w:val="24"/>
        </w:rPr>
        <w:t xml:space="preserve"> </w:t>
      </w:r>
    </w:p>
    <w:p w14:paraId="1FD1FE39" w14:textId="77777777" w:rsidR="00F20A0B" w:rsidRDefault="00F20A0B" w:rsidP="009C4A0D">
      <w:pPr>
        <w:ind w:firstLine="720"/>
        <w:rPr>
          <w:szCs w:val="24"/>
        </w:rPr>
      </w:pPr>
      <w:r>
        <w:rPr>
          <w:szCs w:val="24"/>
        </w:rPr>
        <w:t xml:space="preserve">Furthermore, the Supreme Court, in </w:t>
      </w:r>
      <w:r w:rsidRPr="003B4F5A">
        <w:rPr>
          <w:i/>
          <w:szCs w:val="24"/>
        </w:rPr>
        <w:t>Community for Creative Non Violence v. Reid</w:t>
      </w:r>
      <w:r>
        <w:rPr>
          <w:szCs w:val="24"/>
        </w:rPr>
        <w:t xml:space="preserve">, 109 </w:t>
      </w:r>
      <w:proofErr w:type="spellStart"/>
      <w:r>
        <w:rPr>
          <w:szCs w:val="24"/>
        </w:rPr>
        <w:t>S.Ct</w:t>
      </w:r>
      <w:proofErr w:type="spellEnd"/>
      <w:r>
        <w:rPr>
          <w:szCs w:val="24"/>
        </w:rPr>
        <w:t>. 2166, 2178 (1989), stated that one of Congress’s goals in creating the work-for-hire provisions of the 1976 Act was to “</w:t>
      </w:r>
      <w:proofErr w:type="spellStart"/>
      <w:r>
        <w:rPr>
          <w:szCs w:val="24"/>
        </w:rPr>
        <w:t>ensur</w:t>
      </w:r>
      <w:proofErr w:type="spellEnd"/>
      <w:r>
        <w:rPr>
          <w:szCs w:val="24"/>
        </w:rPr>
        <w:t xml:space="preserve">[e] predictability through advance planning.” In </w:t>
      </w:r>
      <w:r w:rsidRPr="00C204E9">
        <w:rPr>
          <w:i/>
          <w:szCs w:val="24"/>
        </w:rPr>
        <w:t>Community for Creative Non Violence</w:t>
      </w:r>
      <w:r>
        <w:rPr>
          <w:szCs w:val="24"/>
        </w:rPr>
        <w:t xml:space="preserve">, the Court rejected the petitioner’s argument that independent contractors should be considered “employees” under § 101(1) if their works were “actually controlled” by the hiring party. That interpretation, the Court reasoned, would “thwart” the purpose of § 101 because it “leaves the door open for hiring parties, who have failed to get a full assignment of copyright rights from independent contractors falling outside the subdivision (2) guidelines, to unilaterally obtain work-made-for-hire rights years after the work has been </w:t>
      </w:r>
      <w:r>
        <w:rPr>
          <w:szCs w:val="24"/>
        </w:rPr>
        <w:lastRenderedPageBreak/>
        <w:t xml:space="preserve">completed.” </w:t>
      </w:r>
      <w:r w:rsidRPr="00170417">
        <w:rPr>
          <w:i/>
          <w:szCs w:val="24"/>
        </w:rPr>
        <w:t>Id</w:t>
      </w:r>
      <w:r>
        <w:rPr>
          <w:szCs w:val="24"/>
        </w:rPr>
        <w:t xml:space="preserve">. (quoting Hamilton, Commissioned Works as Works Made for Hire Under the 1976 Copyright Act: Misinterpretation and Injustice, 135 </w:t>
      </w:r>
      <w:proofErr w:type="spellStart"/>
      <w:r>
        <w:rPr>
          <w:szCs w:val="24"/>
        </w:rPr>
        <w:t>U.Pa.L.Rev</w:t>
      </w:r>
      <w:proofErr w:type="spellEnd"/>
      <w:r>
        <w:rPr>
          <w:szCs w:val="24"/>
        </w:rPr>
        <w:t xml:space="preserve">. 1281, 1304 (1987)). </w:t>
      </w:r>
    </w:p>
    <w:p w14:paraId="5612811C" w14:textId="77777777" w:rsidR="00765963" w:rsidRDefault="00F20A0B" w:rsidP="00765963">
      <w:pPr>
        <w:ind w:firstLine="720"/>
        <w:rPr>
          <w:szCs w:val="24"/>
        </w:rPr>
      </w:pPr>
      <w:r>
        <w:rPr>
          <w:szCs w:val="24"/>
        </w:rPr>
        <w:t xml:space="preserve">“Likewise, Congress’s goal of ‘predictability’ would be thwarted if a hiring party and an independent contractor could enter into a work-for-hire agreement years after a work was created.” </w:t>
      </w:r>
      <w:r w:rsidR="00DF2B70" w:rsidRPr="00556B57">
        <w:rPr>
          <w:rFonts w:eastAsia="Times New Roman"/>
          <w:i/>
          <w:szCs w:val="24"/>
        </w:rPr>
        <w:t>Playboy</w:t>
      </w:r>
      <w:r w:rsidR="00DF2B70">
        <w:rPr>
          <w:rFonts w:eastAsia="Times New Roman"/>
          <w:i/>
          <w:szCs w:val="24"/>
        </w:rPr>
        <w:t xml:space="preserve"> Enter</w:t>
      </w:r>
      <w:proofErr w:type="gramStart"/>
      <w:r w:rsidR="00DF2B70">
        <w:rPr>
          <w:rFonts w:eastAsia="Times New Roman"/>
          <w:i/>
          <w:szCs w:val="24"/>
        </w:rPr>
        <w:t>.,</w:t>
      </w:r>
      <w:proofErr w:type="gramEnd"/>
      <w:r w:rsidR="00DF2B70">
        <w:rPr>
          <w:rFonts w:eastAsia="Times New Roman"/>
          <w:i/>
          <w:szCs w:val="24"/>
        </w:rPr>
        <w:t xml:space="preserve"> Inc. v. Dumas</w:t>
      </w:r>
      <w:r w:rsidR="00DF2B70">
        <w:rPr>
          <w:rFonts w:eastAsia="Times New Roman"/>
          <w:szCs w:val="24"/>
        </w:rPr>
        <w:t xml:space="preserve">, 53 F.3d 549, 314 (1995). </w:t>
      </w:r>
      <w:r>
        <w:rPr>
          <w:szCs w:val="24"/>
        </w:rPr>
        <w:t>“Prior to execution of such an agreement, the parties as well as third parties would act with the understanding that the independent contractor was the ‘author’ of the work.</w:t>
      </w:r>
      <w:r w:rsidR="003C5692">
        <w:rPr>
          <w:szCs w:val="24"/>
        </w:rPr>
        <w:t xml:space="preserve">” </w:t>
      </w:r>
      <w:r w:rsidR="003C5692" w:rsidRPr="003C5692">
        <w:rPr>
          <w:i/>
          <w:szCs w:val="24"/>
        </w:rPr>
        <w:t>Id.</w:t>
      </w:r>
      <w:r>
        <w:rPr>
          <w:szCs w:val="24"/>
        </w:rPr>
        <w:t xml:space="preserve"> </w:t>
      </w:r>
      <w:r w:rsidR="003C5692">
        <w:rPr>
          <w:szCs w:val="24"/>
        </w:rPr>
        <w:t>“</w:t>
      </w:r>
      <w:r>
        <w:rPr>
          <w:szCs w:val="24"/>
        </w:rPr>
        <w:t>Only after the parties agreed retroactively that the work was made for hire would the hiring party somehow become the ‘author</w:t>
      </w:r>
      <w:r w:rsidR="003C5692">
        <w:rPr>
          <w:szCs w:val="24"/>
        </w:rPr>
        <w:t>.’</w:t>
      </w:r>
      <w:r>
        <w:rPr>
          <w:szCs w:val="24"/>
        </w:rPr>
        <w:t xml:space="preserve">” </w:t>
      </w:r>
      <w:r w:rsidRPr="003C335E">
        <w:rPr>
          <w:i/>
          <w:szCs w:val="24"/>
        </w:rPr>
        <w:t>Id.</w:t>
      </w:r>
      <w:r>
        <w:rPr>
          <w:szCs w:val="24"/>
        </w:rPr>
        <w:t xml:space="preserve"> The Court in</w:t>
      </w:r>
      <w:r w:rsidRPr="001D5B66">
        <w:rPr>
          <w:i/>
          <w:szCs w:val="24"/>
        </w:rPr>
        <w:t xml:space="preserve"> Playboy</w:t>
      </w:r>
      <w:r>
        <w:rPr>
          <w:szCs w:val="24"/>
        </w:rPr>
        <w:t xml:space="preserve"> found that the 1976 Act requires the parties to agree before the creation of the work that it will be a work made for hire. The Court questioned “whether Congress intended that a work could have two separate ‘authors’ – one during the first phase of its existence, and another after a work-for-hire agreement were executed.” </w:t>
      </w:r>
      <w:r w:rsidRPr="001D5B66">
        <w:rPr>
          <w:i/>
          <w:szCs w:val="24"/>
        </w:rPr>
        <w:t>Id.</w:t>
      </w:r>
      <w:r>
        <w:rPr>
          <w:szCs w:val="24"/>
        </w:rPr>
        <w:t xml:space="preserve"> In this case, Ms. Lime did not expressly agree in a written instrument preceding the creation of “Anticipatory Repudiation.” </w:t>
      </w:r>
      <w:r w:rsidR="001C02F3">
        <w:rPr>
          <w:szCs w:val="24"/>
        </w:rPr>
        <w:t xml:space="preserve">According </w:t>
      </w:r>
      <w:r w:rsidR="00A91E35">
        <w:rPr>
          <w:szCs w:val="24"/>
        </w:rPr>
        <w:t xml:space="preserve">to </w:t>
      </w:r>
      <w:r w:rsidR="001C02F3">
        <w:rPr>
          <w:szCs w:val="24"/>
        </w:rPr>
        <w:t>Plaintiff’s interpretation, t</w:t>
      </w:r>
      <w:r>
        <w:rPr>
          <w:szCs w:val="24"/>
        </w:rPr>
        <w:t>he agreement executed after creation of the screenplay would create two separate “authors,” which would undermine Congress’</w:t>
      </w:r>
      <w:r w:rsidR="00A91E35">
        <w:rPr>
          <w:szCs w:val="24"/>
        </w:rPr>
        <w:t>s</w:t>
      </w:r>
      <w:r>
        <w:rPr>
          <w:szCs w:val="24"/>
        </w:rPr>
        <w:t xml:space="preserve"> goal of “predictability.” </w:t>
      </w:r>
    </w:p>
    <w:p w14:paraId="1EEFF60D" w14:textId="77777777" w:rsidR="00F20A0B" w:rsidRPr="00F20A0B" w:rsidRDefault="00F20A0B" w:rsidP="009C4A0D">
      <w:pPr>
        <w:ind w:firstLine="720"/>
        <w:rPr>
          <w:szCs w:val="24"/>
        </w:rPr>
      </w:pPr>
      <w:r>
        <w:rPr>
          <w:szCs w:val="24"/>
        </w:rPr>
        <w:t>The Plaintiff would argue that the “intention [of the parties], at the time the writing is done” should be the determining factor in considering work-make-for-hire agreement. H.R. Rep. No. 94-1476</w:t>
      </w:r>
      <w:r w:rsidR="00FD07D9">
        <w:rPr>
          <w:szCs w:val="24"/>
        </w:rPr>
        <w:t>, at 73 (1976)</w:t>
      </w:r>
      <w:r>
        <w:rPr>
          <w:szCs w:val="24"/>
        </w:rPr>
        <w:t xml:space="preserve">. However, Ms. Lime concedes that she wrote, created, and authored the screenplay entitled “Anticipatory Repudiation,” thus making her the author of the screenplay and the initial owner of the copyright to “Anticipatory Repudiation.” </w:t>
      </w:r>
      <w:r w:rsidR="00A91E35">
        <w:rPr>
          <w:szCs w:val="24"/>
        </w:rPr>
        <w:t xml:space="preserve">(Answer ¶ 1.) </w:t>
      </w:r>
      <w:r>
        <w:rPr>
          <w:szCs w:val="24"/>
        </w:rPr>
        <w:t xml:space="preserve">Ms. Lime was asked to begin writing </w:t>
      </w:r>
      <w:r w:rsidR="00A91E35">
        <w:rPr>
          <w:szCs w:val="24"/>
        </w:rPr>
        <w:t>“</w:t>
      </w:r>
      <w:r>
        <w:rPr>
          <w:szCs w:val="24"/>
        </w:rPr>
        <w:t>right away</w:t>
      </w:r>
      <w:r w:rsidR="00A91E35">
        <w:rPr>
          <w:szCs w:val="24"/>
        </w:rPr>
        <w:t>”</w:t>
      </w:r>
      <w:r>
        <w:rPr>
          <w:szCs w:val="24"/>
        </w:rPr>
        <w:t xml:space="preserve"> based upon the conversations with </w:t>
      </w:r>
      <w:r w:rsidR="00A91E35">
        <w:rPr>
          <w:szCs w:val="24"/>
        </w:rPr>
        <w:t>Mr. Nelson</w:t>
      </w:r>
      <w:r>
        <w:rPr>
          <w:szCs w:val="24"/>
        </w:rPr>
        <w:t xml:space="preserve">, even before a contract was presented to her. </w:t>
      </w:r>
      <w:r w:rsidR="00A91E35">
        <w:rPr>
          <w:szCs w:val="24"/>
        </w:rPr>
        <w:t>(</w:t>
      </w:r>
      <w:proofErr w:type="spellStart"/>
      <w:r w:rsidR="00A91E35">
        <w:rPr>
          <w:szCs w:val="24"/>
        </w:rPr>
        <w:t>Compl</w:t>
      </w:r>
      <w:proofErr w:type="spellEnd"/>
      <w:r w:rsidR="00A91E35">
        <w:rPr>
          <w:szCs w:val="24"/>
        </w:rPr>
        <w:t xml:space="preserve">. ¶ 4.) </w:t>
      </w:r>
      <w:r>
        <w:rPr>
          <w:szCs w:val="24"/>
        </w:rPr>
        <w:t xml:space="preserve">The oral agreement took place certainly </w:t>
      </w:r>
      <w:r>
        <w:rPr>
          <w:szCs w:val="24"/>
        </w:rPr>
        <w:lastRenderedPageBreak/>
        <w:t xml:space="preserve">before </w:t>
      </w:r>
      <w:r w:rsidR="001C02F3">
        <w:rPr>
          <w:szCs w:val="24"/>
        </w:rPr>
        <w:t>the written agreement was</w:t>
      </w:r>
      <w:r>
        <w:rPr>
          <w:szCs w:val="24"/>
        </w:rPr>
        <w:t xml:space="preserve"> signed</w:t>
      </w:r>
      <w:r w:rsidR="001C02F3">
        <w:rPr>
          <w:szCs w:val="24"/>
        </w:rPr>
        <w:t xml:space="preserve"> by them</w:t>
      </w:r>
      <w:r>
        <w:rPr>
          <w:szCs w:val="24"/>
        </w:rPr>
        <w:t xml:space="preserve">. </w:t>
      </w:r>
      <w:r w:rsidR="001C02F3">
        <w:rPr>
          <w:szCs w:val="24"/>
        </w:rPr>
        <w:t xml:space="preserve">The fact that Ms. Lime was </w:t>
      </w:r>
      <w:r w:rsidR="00CA63AD">
        <w:rPr>
          <w:szCs w:val="24"/>
        </w:rPr>
        <w:t>“</w:t>
      </w:r>
      <w:r w:rsidR="001C02F3">
        <w:rPr>
          <w:szCs w:val="24"/>
        </w:rPr>
        <w:t>a well-known television writer with more than fifteen years of experience</w:t>
      </w:r>
      <w:r w:rsidR="00CA63AD">
        <w:rPr>
          <w:szCs w:val="24"/>
        </w:rPr>
        <w:t>”</w:t>
      </w:r>
      <w:r w:rsidR="001C02F3">
        <w:rPr>
          <w:szCs w:val="24"/>
        </w:rPr>
        <w:t xml:space="preserve"> does not </w:t>
      </w:r>
      <w:r w:rsidR="00CA63AD">
        <w:rPr>
          <w:szCs w:val="24"/>
        </w:rPr>
        <w:t>support</w:t>
      </w:r>
      <w:r w:rsidR="001C02F3">
        <w:rPr>
          <w:szCs w:val="24"/>
        </w:rPr>
        <w:t xml:space="preserve"> an assumption that she </w:t>
      </w:r>
      <w:r w:rsidR="00CA63AD">
        <w:rPr>
          <w:szCs w:val="24"/>
        </w:rPr>
        <w:t xml:space="preserve">fully </w:t>
      </w:r>
      <w:r w:rsidR="001C02F3">
        <w:rPr>
          <w:szCs w:val="24"/>
        </w:rPr>
        <w:t xml:space="preserve">understood the effect of work made for hire agreement. </w:t>
      </w:r>
      <w:r w:rsidR="00CA63AD">
        <w:rPr>
          <w:szCs w:val="24"/>
        </w:rPr>
        <w:t>(</w:t>
      </w:r>
      <w:proofErr w:type="spellStart"/>
      <w:r w:rsidR="00CA63AD">
        <w:rPr>
          <w:szCs w:val="24"/>
        </w:rPr>
        <w:t>Compl</w:t>
      </w:r>
      <w:proofErr w:type="spellEnd"/>
      <w:r w:rsidR="00CA63AD">
        <w:rPr>
          <w:szCs w:val="24"/>
        </w:rPr>
        <w:t xml:space="preserve">. ¶ 3.) </w:t>
      </w:r>
      <w:r>
        <w:rPr>
          <w:szCs w:val="24"/>
        </w:rPr>
        <w:t xml:space="preserve">The agreement was signed after the completion of her work, </w:t>
      </w:r>
      <w:r w:rsidR="00CA63AD">
        <w:rPr>
          <w:szCs w:val="24"/>
        </w:rPr>
        <w:t xml:space="preserve">making </w:t>
      </w:r>
      <w:r>
        <w:rPr>
          <w:szCs w:val="24"/>
        </w:rPr>
        <w:t xml:space="preserve">her </w:t>
      </w:r>
      <w:r w:rsidR="00511E5E">
        <w:rPr>
          <w:szCs w:val="24"/>
        </w:rPr>
        <w:t xml:space="preserve">“the author of the screenplay and </w:t>
      </w:r>
      <w:r>
        <w:rPr>
          <w:szCs w:val="24"/>
        </w:rPr>
        <w:t xml:space="preserve">the initial owner of the copyright to </w:t>
      </w:r>
      <w:r w:rsidR="00A91E35">
        <w:rPr>
          <w:szCs w:val="24"/>
        </w:rPr>
        <w:t>‘</w:t>
      </w:r>
      <w:r w:rsidR="00511E5E">
        <w:rPr>
          <w:szCs w:val="24"/>
        </w:rPr>
        <w:t>Anticipatory Repudiation</w:t>
      </w:r>
      <w:r w:rsidR="00A91E35">
        <w:rPr>
          <w:szCs w:val="24"/>
        </w:rPr>
        <w:t>’.”</w:t>
      </w:r>
      <w:r w:rsidR="00511E5E">
        <w:rPr>
          <w:szCs w:val="24"/>
        </w:rPr>
        <w:t xml:space="preserve"> (Answer ¶ 1.)</w:t>
      </w:r>
      <w:r>
        <w:rPr>
          <w:szCs w:val="24"/>
        </w:rPr>
        <w:t xml:space="preserve"> Ms. Lime has not transferred or assigned ownership of the copyright to “Anticipatory Repudiation,” and so remains the owner of the owner of the copyright to the work. </w:t>
      </w:r>
      <w:r w:rsidR="00511E5E" w:rsidRPr="00511E5E">
        <w:rPr>
          <w:i/>
          <w:szCs w:val="24"/>
        </w:rPr>
        <w:t>Id.</w:t>
      </w:r>
      <w:r w:rsidR="00511E5E">
        <w:rPr>
          <w:szCs w:val="24"/>
        </w:rPr>
        <w:t xml:space="preserve"> </w:t>
      </w:r>
    </w:p>
    <w:p w14:paraId="76BF1342" w14:textId="77777777" w:rsidR="0036521D" w:rsidRDefault="0036521D" w:rsidP="009C4A0D">
      <w:pPr>
        <w:pStyle w:val="ListParagraph"/>
        <w:numPr>
          <w:ilvl w:val="0"/>
          <w:numId w:val="12"/>
        </w:numPr>
        <w:spacing w:line="240" w:lineRule="auto"/>
        <w:rPr>
          <w:b/>
          <w:szCs w:val="24"/>
        </w:rPr>
      </w:pPr>
      <w:r w:rsidRPr="00B51FD7">
        <w:rPr>
          <w:b/>
          <w:szCs w:val="24"/>
        </w:rPr>
        <w:t xml:space="preserve">The Structure of 17 U.S.C. Further Demonstrates Congress’s Intent to Require </w:t>
      </w:r>
      <w:r w:rsidR="00181382">
        <w:rPr>
          <w:b/>
          <w:szCs w:val="24"/>
        </w:rPr>
        <w:t xml:space="preserve">a </w:t>
      </w:r>
      <w:r w:rsidRPr="00B51FD7">
        <w:rPr>
          <w:b/>
          <w:szCs w:val="24"/>
        </w:rPr>
        <w:t>Written Agreement Prior to Creation of Work.</w:t>
      </w:r>
    </w:p>
    <w:p w14:paraId="1B52B035" w14:textId="77777777" w:rsidR="00E43CB1" w:rsidRDefault="00E43CB1" w:rsidP="009C4A0D">
      <w:pPr>
        <w:spacing w:line="240" w:lineRule="auto"/>
        <w:rPr>
          <w:szCs w:val="24"/>
        </w:rPr>
      </w:pPr>
    </w:p>
    <w:p w14:paraId="4E3EA404" w14:textId="77777777" w:rsidR="00E12A48" w:rsidRPr="00915863" w:rsidRDefault="00AC54AB" w:rsidP="009C4A0D">
      <w:pPr>
        <w:ind w:firstLine="720"/>
      </w:pPr>
      <w:r>
        <w:t xml:space="preserve">When the language of the statute is ambiguous, the Court looks at “the entire text and structure of the statute to determine its meaning.” </w:t>
      </w:r>
      <w:r>
        <w:rPr>
          <w:rStyle w:val="Emphasis"/>
        </w:rPr>
        <w:t>Miscellaneous Firearms,</w:t>
      </w:r>
      <w:r>
        <w:t xml:space="preserve"> 376 F.3d at 712 (citing </w:t>
      </w:r>
      <w:r>
        <w:rPr>
          <w:rStyle w:val="Emphasis"/>
        </w:rPr>
        <w:t>FDA v. Brown &amp; Williamson Tobacco Corp.,</w:t>
      </w:r>
      <w:r>
        <w:t xml:space="preserve"> 529 U.S. 120, 133, 120 </w:t>
      </w:r>
      <w:proofErr w:type="spellStart"/>
      <w:r>
        <w:t>S.Ct</w:t>
      </w:r>
      <w:proofErr w:type="spellEnd"/>
      <w:r>
        <w:t xml:space="preserve">. 1291, 146 L.Ed.2d 121 (2000)). “The interpretation should be consistent with the structure and context of the statute as a whole and should not render other provisions inconsistent, meaningless or superfluous.” </w:t>
      </w:r>
      <w:r>
        <w:rPr>
          <w:rStyle w:val="Emphasis"/>
        </w:rPr>
        <w:t>Miscellaneous Firearms,</w:t>
      </w:r>
      <w:r>
        <w:t xml:space="preserve"> 376 F.3d at 712 (citing </w:t>
      </w:r>
      <w:proofErr w:type="spellStart"/>
      <w:r w:rsidRPr="00AC54AB">
        <w:rPr>
          <w:i/>
        </w:rPr>
        <w:t>Petco</w:t>
      </w:r>
      <w:proofErr w:type="spellEnd"/>
      <w:r w:rsidRPr="00AC54AB">
        <w:rPr>
          <w:i/>
        </w:rPr>
        <w:t xml:space="preserve"> Petroleum Corp. v. Natural Gas Pipeline Co. of Am.</w:t>
      </w:r>
      <w:r>
        <w:t>, 410 F. Supp. 2d 715, 720-21 (S.D. Ill. 2006)).</w:t>
      </w:r>
      <w:r w:rsidR="007805DC">
        <w:t xml:space="preserve"> </w:t>
      </w:r>
      <w:r w:rsidR="00D518EF">
        <w:t>“[C]</w:t>
      </w:r>
      <w:proofErr w:type="spellStart"/>
      <w:r w:rsidR="007805DC">
        <w:t>ourts</w:t>
      </w:r>
      <w:proofErr w:type="spellEnd"/>
      <w:r w:rsidR="007805DC">
        <w:t xml:space="preserve"> should not construe a statute in such a manner as to reach an absurd conclusion if any other construction is possible.</w:t>
      </w:r>
      <w:r w:rsidR="00D518EF">
        <w:t>”</w:t>
      </w:r>
      <w:r w:rsidR="007805DC">
        <w:t xml:space="preserve"> </w:t>
      </w:r>
      <w:r w:rsidR="007805DC" w:rsidRPr="00D518EF">
        <w:rPr>
          <w:i/>
        </w:rPr>
        <w:t>State Dept. of Public Welfare v. Bland</w:t>
      </w:r>
      <w:r w:rsidR="00A555DC">
        <w:t>, 66 So.2d 59 (</w:t>
      </w:r>
      <w:r w:rsidR="007805DC">
        <w:t xml:space="preserve">1953); </w:t>
      </w:r>
      <w:r w:rsidR="007805DC" w:rsidRPr="00D518EF">
        <w:rPr>
          <w:i/>
        </w:rPr>
        <w:t>State ex rel. Florida Industrial Comm. v. Willis</w:t>
      </w:r>
      <w:r w:rsidR="007805DC">
        <w:t xml:space="preserve">, 124 So.2d 48 (1960). </w:t>
      </w:r>
      <w:r w:rsidR="00D518EF">
        <w:t>“</w:t>
      </w:r>
      <w:r w:rsidR="007805DC">
        <w:t xml:space="preserve">Moreover, words in a statute should not be construed as </w:t>
      </w:r>
      <w:proofErr w:type="spellStart"/>
      <w:r w:rsidR="007805DC">
        <w:t>surplusage</w:t>
      </w:r>
      <w:proofErr w:type="spellEnd"/>
      <w:r w:rsidR="007805DC">
        <w:t xml:space="preserve"> if a reasonable construction which will give them some force and meaning is possible.</w:t>
      </w:r>
      <w:r w:rsidR="00D518EF">
        <w:t>”</w:t>
      </w:r>
      <w:r w:rsidR="007805DC">
        <w:t xml:space="preserve"> 82 C.J.S. Statutes</w:t>
      </w:r>
      <w:r w:rsidR="00417384">
        <w:t xml:space="preserve"> s 343 (citing </w:t>
      </w:r>
      <w:r w:rsidR="007805DC" w:rsidRPr="00417384">
        <w:rPr>
          <w:i/>
        </w:rPr>
        <w:t>Pinellas County v. Woolley</w:t>
      </w:r>
      <w:r w:rsidR="007805DC">
        <w:t>, 189 So. 2d 217, 219 (1966)</w:t>
      </w:r>
      <w:r w:rsidR="00417384">
        <w:t>).</w:t>
      </w:r>
      <w:r w:rsidR="00AE79F3">
        <w:t xml:space="preserve"> </w:t>
      </w:r>
    </w:p>
    <w:p w14:paraId="54270139" w14:textId="77777777" w:rsidR="00024BC1" w:rsidRDefault="0036521D" w:rsidP="009C4A0D">
      <w:pPr>
        <w:ind w:firstLine="720"/>
        <w:rPr>
          <w:rFonts w:eastAsia="Times New Roman"/>
          <w:szCs w:val="24"/>
        </w:rPr>
      </w:pPr>
      <w:r w:rsidRPr="00E43CB1">
        <w:rPr>
          <w:rFonts w:eastAsia="Times New Roman"/>
          <w:szCs w:val="24"/>
        </w:rPr>
        <w:t xml:space="preserve">If </w:t>
      </w:r>
      <w:r w:rsidR="00181382" w:rsidRPr="00E43CB1">
        <w:rPr>
          <w:rFonts w:eastAsia="Times New Roman"/>
          <w:szCs w:val="24"/>
        </w:rPr>
        <w:t xml:space="preserve">a </w:t>
      </w:r>
      <w:r w:rsidRPr="00E43CB1">
        <w:rPr>
          <w:rFonts w:eastAsia="Times New Roman"/>
          <w:szCs w:val="24"/>
        </w:rPr>
        <w:t xml:space="preserve">written agreement for “work made for hire” can be signed after creation of work, the provision concerning execution of transfers of copyright ownership would be mere surplusage. </w:t>
      </w:r>
      <w:proofErr w:type="gramStart"/>
      <w:r w:rsidR="00B328AF" w:rsidRPr="00A11E17">
        <w:rPr>
          <w:i/>
          <w:szCs w:val="24"/>
        </w:rPr>
        <w:lastRenderedPageBreak/>
        <w:t>Playboy</w:t>
      </w:r>
      <w:r w:rsidR="00B328AF">
        <w:rPr>
          <w:szCs w:val="24"/>
        </w:rPr>
        <w:t>, 53 F.3d at 558.</w:t>
      </w:r>
      <w:proofErr w:type="gramEnd"/>
      <w:r w:rsidR="00B328AF">
        <w:rPr>
          <w:szCs w:val="24"/>
        </w:rPr>
        <w:t xml:space="preserve"> </w:t>
      </w:r>
      <w:r w:rsidR="00556B57">
        <w:rPr>
          <w:rFonts w:eastAsia="Times New Roman"/>
          <w:szCs w:val="24"/>
        </w:rPr>
        <w:t>The work-for-hire agreements must be executed pre-creation, otherwise they are little more than transfers, which are governed separately under § 204 of the Act.</w:t>
      </w:r>
      <w:r w:rsidR="00B328AF">
        <w:rPr>
          <w:rFonts w:eastAsia="Times New Roman"/>
          <w:szCs w:val="24"/>
        </w:rPr>
        <w:t xml:space="preserve"> </w:t>
      </w:r>
      <w:r w:rsidR="00B328AF" w:rsidRPr="00B328AF">
        <w:rPr>
          <w:rFonts w:eastAsia="Times New Roman"/>
          <w:i/>
          <w:szCs w:val="24"/>
        </w:rPr>
        <w:t>Id</w:t>
      </w:r>
      <w:r w:rsidR="00DF2B70" w:rsidRPr="00B328AF">
        <w:rPr>
          <w:i/>
          <w:szCs w:val="24"/>
        </w:rPr>
        <w:t>.</w:t>
      </w:r>
      <w:r w:rsidR="00DF2B70" w:rsidRPr="00B328AF">
        <w:rPr>
          <w:rFonts w:eastAsia="Times New Roman"/>
          <w:bCs/>
          <w:szCs w:val="24"/>
        </w:rPr>
        <w:t xml:space="preserve"> </w:t>
      </w:r>
      <w:r w:rsidRPr="00E43CB1">
        <w:rPr>
          <w:rFonts w:eastAsia="Times New Roman"/>
          <w:bCs/>
          <w:szCs w:val="24"/>
        </w:rPr>
        <w:t xml:space="preserve">The provision states, </w:t>
      </w:r>
      <w:r w:rsidRPr="00E43CB1">
        <w:rPr>
          <w:rFonts w:eastAsia="Times New Roman"/>
          <w:b/>
          <w:bCs/>
          <w:szCs w:val="24"/>
        </w:rPr>
        <w:t>“</w:t>
      </w:r>
      <w:r w:rsidRPr="00E43CB1">
        <w:rPr>
          <w:rFonts w:eastAsia="Times New Roman"/>
          <w:szCs w:val="24"/>
        </w:rPr>
        <w:t>A transfer of copyright ownership, other than by operation of law, is not valid unless an instrument of conveyance, or a note or memorandum of the transfer, is in writing and signed by the owner of the rights conveyed or such owner's duly authoriz</w:t>
      </w:r>
      <w:r w:rsidR="00A036A1">
        <w:rPr>
          <w:rFonts w:eastAsia="Times New Roman"/>
          <w:szCs w:val="24"/>
        </w:rPr>
        <w:t xml:space="preserve">ed agent.” </w:t>
      </w:r>
      <w:proofErr w:type="gramStart"/>
      <w:r w:rsidR="00A036A1">
        <w:rPr>
          <w:rFonts w:eastAsia="Times New Roman"/>
          <w:szCs w:val="24"/>
        </w:rPr>
        <w:t>17 U.S.C</w:t>
      </w:r>
      <w:r w:rsidRPr="00E43CB1">
        <w:rPr>
          <w:rFonts w:eastAsia="Times New Roman"/>
          <w:szCs w:val="24"/>
        </w:rPr>
        <w:t>. § 204</w:t>
      </w:r>
      <w:r w:rsidR="00AD1D4D">
        <w:rPr>
          <w:rFonts w:eastAsia="Times New Roman"/>
          <w:szCs w:val="24"/>
        </w:rPr>
        <w:t>.</w:t>
      </w:r>
      <w:proofErr w:type="gramEnd"/>
      <w:r w:rsidR="0022007F">
        <w:rPr>
          <w:rFonts w:eastAsia="Times New Roman"/>
          <w:szCs w:val="24"/>
        </w:rPr>
        <w:t xml:space="preserve"> </w:t>
      </w:r>
    </w:p>
    <w:p w14:paraId="7766C464" w14:textId="77777777" w:rsidR="00C97EB0" w:rsidRPr="00E71DA4" w:rsidRDefault="00AE79F3" w:rsidP="008E1BAF">
      <w:pPr>
        <w:spacing w:after="240"/>
        <w:ind w:firstLine="720"/>
      </w:pPr>
      <w:r>
        <w:rPr>
          <w:rFonts w:eastAsia="Times New Roman"/>
          <w:szCs w:val="24"/>
        </w:rPr>
        <w:t xml:space="preserve">The Plaintiff </w:t>
      </w:r>
      <w:r w:rsidR="005B7190">
        <w:rPr>
          <w:rFonts w:eastAsia="Times New Roman"/>
          <w:szCs w:val="24"/>
        </w:rPr>
        <w:t>would</w:t>
      </w:r>
      <w:r>
        <w:rPr>
          <w:rFonts w:eastAsia="Times New Roman"/>
          <w:szCs w:val="24"/>
        </w:rPr>
        <w:t xml:space="preserve"> argue</w:t>
      </w:r>
      <w:r w:rsidR="006C6E83">
        <w:rPr>
          <w:rFonts w:eastAsia="Times New Roman"/>
          <w:szCs w:val="24"/>
        </w:rPr>
        <w:t xml:space="preserve"> that the work-for-hire doctrine is fundamentally different than a transfer, because it “would make the hiring party the ‘author’ of the work, whereas the transfer would convey only ownership of the copyright.” </w:t>
      </w:r>
      <w:proofErr w:type="gramStart"/>
      <w:r w:rsidR="006C6E83" w:rsidRPr="006C6E83">
        <w:rPr>
          <w:rFonts w:eastAsia="Times New Roman"/>
          <w:i/>
          <w:szCs w:val="24"/>
        </w:rPr>
        <w:t xml:space="preserve">Playboy </w:t>
      </w:r>
      <w:r w:rsidR="006C6E83">
        <w:rPr>
          <w:rFonts w:eastAsia="Times New Roman"/>
          <w:szCs w:val="24"/>
        </w:rPr>
        <w:t>53 F.3d at 558.</w:t>
      </w:r>
      <w:proofErr w:type="gramEnd"/>
      <w:r w:rsidR="005B7190">
        <w:rPr>
          <w:rFonts w:eastAsia="Times New Roman"/>
          <w:szCs w:val="24"/>
        </w:rPr>
        <w:t xml:space="preserve"> </w:t>
      </w:r>
      <w:r w:rsidR="00AF3E17">
        <w:rPr>
          <w:rFonts w:eastAsia="Times New Roman"/>
          <w:szCs w:val="24"/>
        </w:rPr>
        <w:t xml:space="preserve">However, the Court in </w:t>
      </w:r>
      <w:r w:rsidR="00AF3E17" w:rsidRPr="00AF3E17">
        <w:rPr>
          <w:rFonts w:eastAsia="Times New Roman"/>
          <w:i/>
          <w:szCs w:val="24"/>
        </w:rPr>
        <w:t>Playboy</w:t>
      </w:r>
      <w:r w:rsidR="00AF3E17">
        <w:rPr>
          <w:rFonts w:eastAsia="Times New Roman"/>
          <w:szCs w:val="24"/>
        </w:rPr>
        <w:t xml:space="preserve"> rejected</w:t>
      </w:r>
      <w:r w:rsidR="001E4B5E">
        <w:rPr>
          <w:rFonts w:eastAsia="Times New Roman"/>
          <w:szCs w:val="24"/>
        </w:rPr>
        <w:t xml:space="preserve"> the same argument made by the p</w:t>
      </w:r>
      <w:r w:rsidR="00AF3E17">
        <w:rPr>
          <w:rFonts w:eastAsia="Times New Roman"/>
          <w:szCs w:val="24"/>
        </w:rPr>
        <w:t xml:space="preserve">laintiff, finding “that the 1976 Act requires that the parties agree before the creation of the work that it will be a work made for hire.” </w:t>
      </w:r>
      <w:proofErr w:type="gramStart"/>
      <w:r w:rsidR="00AF3E17" w:rsidRPr="00AF3E17">
        <w:rPr>
          <w:rFonts w:eastAsia="Times New Roman"/>
          <w:i/>
          <w:szCs w:val="24"/>
        </w:rPr>
        <w:t>Id.</w:t>
      </w:r>
      <w:r w:rsidR="00AF3E17">
        <w:rPr>
          <w:rFonts w:eastAsia="Times New Roman"/>
          <w:szCs w:val="24"/>
        </w:rPr>
        <w:t xml:space="preserve"> at 559.</w:t>
      </w:r>
      <w:proofErr w:type="gramEnd"/>
      <w:r w:rsidR="00AF3E17">
        <w:rPr>
          <w:rFonts w:eastAsia="Times New Roman"/>
          <w:szCs w:val="24"/>
        </w:rPr>
        <w:t xml:space="preserve"> </w:t>
      </w:r>
      <w:r w:rsidR="00A625F9">
        <w:rPr>
          <w:rFonts w:eastAsia="Times New Roman"/>
          <w:szCs w:val="24"/>
        </w:rPr>
        <w:t xml:space="preserve">The Second Supplementary Registrar’s Report stated that under 17 U.S.C. § 203, “the author or his widow and children can terminate any grant he himself had made of his right after 35 years of the transfer.” Copyright Office, Library of Cong., Second Supplementary Register’s Report on the General Revision of U.S. Copyright Law 100 (Comm. Print 1975).  The termination is not automatic, but could be effected by serving an advance written notice on the grantee within specified time limits. </w:t>
      </w:r>
      <w:r w:rsidR="00A625F9" w:rsidRPr="00A625F9">
        <w:rPr>
          <w:rFonts w:eastAsia="Times New Roman"/>
          <w:i/>
          <w:szCs w:val="24"/>
        </w:rPr>
        <w:t xml:space="preserve">Id. </w:t>
      </w:r>
      <w:r w:rsidR="00A625F9">
        <w:rPr>
          <w:rFonts w:eastAsia="Times New Roman"/>
          <w:szCs w:val="24"/>
        </w:rPr>
        <w:t xml:space="preserve">Thus, in certain circumstances, assuming that the prior written agreement is not required in work made for hire provision, the transfer provision would be mere </w:t>
      </w:r>
      <w:proofErr w:type="spellStart"/>
      <w:r w:rsidR="00A625F9">
        <w:rPr>
          <w:rFonts w:eastAsia="Times New Roman"/>
          <w:szCs w:val="24"/>
        </w:rPr>
        <w:t>surplusage</w:t>
      </w:r>
      <w:proofErr w:type="spellEnd"/>
      <w:r w:rsidR="00A625F9">
        <w:rPr>
          <w:rFonts w:eastAsia="Times New Roman"/>
          <w:szCs w:val="24"/>
        </w:rPr>
        <w:t xml:space="preserve"> if the original author does not exercise his termination right within the time limit. </w:t>
      </w:r>
      <w:r w:rsidR="00492819">
        <w:rPr>
          <w:rFonts w:eastAsia="Times New Roman"/>
          <w:szCs w:val="24"/>
        </w:rPr>
        <w:t xml:space="preserve">This situation would make the two provisions redundant and such interpretation should be avoided. </w:t>
      </w:r>
    </w:p>
    <w:p w14:paraId="3C89249E" w14:textId="77777777" w:rsidR="00813535" w:rsidRPr="00011F82" w:rsidRDefault="00C97EB0" w:rsidP="009C4A0D">
      <w:pPr>
        <w:pStyle w:val="ListParagraph"/>
        <w:numPr>
          <w:ilvl w:val="0"/>
          <w:numId w:val="12"/>
        </w:numPr>
        <w:spacing w:line="240" w:lineRule="auto"/>
        <w:jc w:val="both"/>
        <w:rPr>
          <w:b/>
        </w:rPr>
      </w:pPr>
      <w:r w:rsidRPr="00011F82">
        <w:rPr>
          <w:b/>
          <w:szCs w:val="24"/>
        </w:rPr>
        <w:t>The Pr</w:t>
      </w:r>
      <w:r w:rsidR="00DD57EE" w:rsidRPr="00011F82">
        <w:rPr>
          <w:b/>
          <w:szCs w:val="24"/>
        </w:rPr>
        <w:t>ior Case Law</w:t>
      </w:r>
      <w:r w:rsidRPr="00011F82">
        <w:rPr>
          <w:b/>
          <w:szCs w:val="24"/>
        </w:rPr>
        <w:t xml:space="preserve"> </w:t>
      </w:r>
      <w:r w:rsidR="004B14E5" w:rsidRPr="00011F82">
        <w:rPr>
          <w:b/>
          <w:szCs w:val="24"/>
        </w:rPr>
        <w:t xml:space="preserve">On 17 U.S.C. §101(2) </w:t>
      </w:r>
      <w:r w:rsidRPr="00011F82">
        <w:rPr>
          <w:b/>
          <w:szCs w:val="24"/>
        </w:rPr>
        <w:t>Support</w:t>
      </w:r>
      <w:r w:rsidR="00DD57EE" w:rsidRPr="00011F82">
        <w:rPr>
          <w:b/>
          <w:szCs w:val="24"/>
        </w:rPr>
        <w:t>s</w:t>
      </w:r>
      <w:r w:rsidRPr="00011F82">
        <w:rPr>
          <w:b/>
          <w:szCs w:val="24"/>
        </w:rPr>
        <w:t xml:space="preserve"> the Conclusion That </w:t>
      </w:r>
      <w:r w:rsidR="004B14E5" w:rsidRPr="00011F82">
        <w:rPr>
          <w:b/>
          <w:szCs w:val="24"/>
        </w:rPr>
        <w:t xml:space="preserve">the Congress Intended to </w:t>
      </w:r>
      <w:r w:rsidRPr="00011F82">
        <w:rPr>
          <w:b/>
          <w:szCs w:val="24"/>
        </w:rPr>
        <w:t>Require a Written Agreement Prior to Creation of Work.</w:t>
      </w:r>
    </w:p>
    <w:p w14:paraId="744E97A3" w14:textId="77777777" w:rsidR="00170417" w:rsidRPr="00011F82" w:rsidRDefault="00170417" w:rsidP="009C4A0D">
      <w:pPr>
        <w:spacing w:line="240" w:lineRule="auto"/>
        <w:jc w:val="both"/>
        <w:rPr>
          <w:b/>
        </w:rPr>
      </w:pPr>
    </w:p>
    <w:p w14:paraId="061C4B0B" w14:textId="77777777" w:rsidR="001C5F4D" w:rsidRPr="00F13CA0" w:rsidRDefault="002B4D6C" w:rsidP="009C4A0D">
      <w:pPr>
        <w:ind w:firstLine="720"/>
      </w:pPr>
      <w:r>
        <w:rPr>
          <w:rFonts w:eastAsia="Times New Roman"/>
          <w:szCs w:val="24"/>
          <w:lang w:eastAsia="ko-KR"/>
        </w:rPr>
        <w:lastRenderedPageBreak/>
        <w:t>“</w:t>
      </w:r>
      <w:r w:rsidR="00170417" w:rsidRPr="00170417">
        <w:rPr>
          <w:rFonts w:eastAsia="Times New Roman"/>
          <w:szCs w:val="24"/>
          <w:lang w:eastAsia="ko-KR"/>
        </w:rPr>
        <w:t>Precedential opinions are meant to govern not merely the cases for which they are written, but future cases as well.</w:t>
      </w:r>
      <w:r>
        <w:rPr>
          <w:rFonts w:eastAsia="Times New Roman"/>
          <w:szCs w:val="24"/>
          <w:lang w:eastAsia="ko-KR"/>
        </w:rPr>
        <w:t>”</w:t>
      </w:r>
      <w:r w:rsidR="00BB20DA">
        <w:rPr>
          <w:rFonts w:eastAsia="Times New Roman"/>
          <w:szCs w:val="24"/>
          <w:lang w:eastAsia="ko-KR"/>
        </w:rPr>
        <w:t xml:space="preserve"> </w:t>
      </w:r>
      <w:proofErr w:type="gramStart"/>
      <w:r w:rsidR="00170417" w:rsidRPr="00170417">
        <w:rPr>
          <w:rFonts w:eastAsia="Times New Roman"/>
          <w:i/>
          <w:szCs w:val="24"/>
          <w:lang w:eastAsia="ko-KR"/>
        </w:rPr>
        <w:t>Hart v. Massanari</w:t>
      </w:r>
      <w:r w:rsidR="00170417" w:rsidRPr="00170417">
        <w:rPr>
          <w:rFonts w:eastAsia="Times New Roman"/>
          <w:szCs w:val="24"/>
          <w:lang w:eastAsia="ko-KR"/>
        </w:rPr>
        <w:t>, 266 F.3d 1155, 1176 (9th Cir. 2001)</w:t>
      </w:r>
      <w:r>
        <w:rPr>
          <w:rFonts w:eastAsia="Times New Roman"/>
          <w:szCs w:val="24"/>
          <w:lang w:eastAsia="ko-KR"/>
        </w:rPr>
        <w:t>.</w:t>
      </w:r>
      <w:proofErr w:type="gramEnd"/>
      <w:r>
        <w:rPr>
          <w:rFonts w:eastAsia="Times New Roman"/>
          <w:szCs w:val="24"/>
          <w:lang w:eastAsia="ko-KR"/>
        </w:rPr>
        <w:t xml:space="preserve"> </w:t>
      </w:r>
      <w:r w:rsidR="00F13CA0">
        <w:rPr>
          <w:rFonts w:eastAsia="Times New Roman"/>
          <w:szCs w:val="24"/>
          <w:lang w:eastAsia="ko-KR"/>
        </w:rPr>
        <w:t>The Court “</w:t>
      </w:r>
      <w:r w:rsidR="00F13CA0">
        <w:t>adheres to [its] precedents for reasons of efficiency, fairness, and legitimacy</w:t>
      </w:r>
      <w:r w:rsidR="007145BF">
        <w:t>.</w:t>
      </w:r>
      <w:r w:rsidR="00F13CA0">
        <w:t>”</w:t>
      </w:r>
      <w:r w:rsidR="007145BF">
        <w:t xml:space="preserve"> </w:t>
      </w:r>
      <w:r w:rsidR="007145BF">
        <w:rPr>
          <w:i/>
        </w:rPr>
        <w:t>Southwestern Bell Telephone</w:t>
      </w:r>
      <w:r w:rsidR="007145BF" w:rsidRPr="00F13CA0">
        <w:rPr>
          <w:i/>
        </w:rPr>
        <w:t xml:space="preserve"> Co., L.P. v. Mitchell</w:t>
      </w:r>
      <w:r w:rsidR="007145BF">
        <w:t xml:space="preserve">, 276 S.W.3d 443, 447 (Tex. 2008). But </w:t>
      </w:r>
      <w:r w:rsidR="00F13CA0">
        <w:t xml:space="preserve">“when adherence to a judicially-created rule of law no longer furthers these interests, and ‘the general interest will suffer less by such departure, than from a strict adherence,’ [the court] should not hesitate to depart from a prior holding.” </w:t>
      </w:r>
      <w:r w:rsidR="00E80704" w:rsidRPr="00E80704">
        <w:rPr>
          <w:i/>
        </w:rPr>
        <w:t>Id.</w:t>
      </w:r>
      <w:r w:rsidR="00E80704">
        <w:t xml:space="preserve"> </w:t>
      </w:r>
    </w:p>
    <w:p w14:paraId="06779E2C" w14:textId="77777777" w:rsidR="00040107" w:rsidRDefault="00BB20DA" w:rsidP="009C4A0D">
      <w:pPr>
        <w:ind w:firstLine="720"/>
        <w:rPr>
          <w:rFonts w:eastAsia="Times New Roman"/>
          <w:szCs w:val="24"/>
          <w:lang w:eastAsia="ko-KR"/>
        </w:rPr>
      </w:pPr>
      <w:r w:rsidRPr="00BB20DA">
        <w:rPr>
          <w:rFonts w:eastAsia="Times New Roman"/>
          <w:szCs w:val="24"/>
          <w:lang w:eastAsia="ko-KR"/>
        </w:rPr>
        <w:t xml:space="preserve">In </w:t>
      </w:r>
      <w:r w:rsidRPr="00BB20DA">
        <w:rPr>
          <w:rFonts w:eastAsia="Times New Roman"/>
          <w:i/>
          <w:iCs/>
          <w:szCs w:val="24"/>
          <w:lang w:eastAsia="ko-KR"/>
        </w:rPr>
        <w:t>Schiller &amp; Schmidt v. Nordisco Corp.</w:t>
      </w:r>
      <w:r w:rsidRPr="00BB20DA">
        <w:rPr>
          <w:rFonts w:eastAsia="Times New Roman"/>
          <w:szCs w:val="24"/>
          <w:lang w:eastAsia="ko-KR"/>
        </w:rPr>
        <w:t xml:space="preserve">, the Seventh Circuit held that in order for a work to be classified as a "work made for hire," the written agreement must be signed prior to the time of creation of the work. </w:t>
      </w:r>
      <w:r w:rsidR="009C4A0D" w:rsidRPr="00BB20DA">
        <w:rPr>
          <w:rFonts w:eastAsia="Times New Roman"/>
          <w:i/>
          <w:szCs w:val="24"/>
          <w:lang w:eastAsia="ko-KR"/>
        </w:rPr>
        <w:t xml:space="preserve">Schiller &amp; Schmidt, Inc. v. </w:t>
      </w:r>
      <w:proofErr w:type="spellStart"/>
      <w:r w:rsidR="009C4A0D" w:rsidRPr="00BB20DA">
        <w:rPr>
          <w:rFonts w:eastAsia="Times New Roman"/>
          <w:i/>
          <w:szCs w:val="24"/>
          <w:lang w:eastAsia="ko-KR"/>
        </w:rPr>
        <w:t>Nordisco</w:t>
      </w:r>
      <w:proofErr w:type="spellEnd"/>
      <w:r w:rsidR="009C4A0D" w:rsidRPr="00BB20DA">
        <w:rPr>
          <w:rFonts w:eastAsia="Times New Roman"/>
          <w:i/>
          <w:szCs w:val="24"/>
          <w:lang w:eastAsia="ko-KR"/>
        </w:rPr>
        <w:t xml:space="preserve"> Corp</w:t>
      </w:r>
      <w:r w:rsidR="009C4A0D" w:rsidRPr="00BB20DA">
        <w:rPr>
          <w:rFonts w:eastAsia="Times New Roman"/>
          <w:szCs w:val="24"/>
          <w:lang w:eastAsia="ko-KR"/>
        </w:rPr>
        <w:t>., 969 F.2d 410, 23 U.S.P.Q.2d (BNA) 1762 (7th Cir. 1992).</w:t>
      </w:r>
      <w:r w:rsidR="009C4A0D">
        <w:rPr>
          <w:rFonts w:eastAsia="Times New Roman"/>
          <w:szCs w:val="24"/>
          <w:lang w:eastAsia="ko-KR"/>
        </w:rPr>
        <w:t xml:space="preserve"> </w:t>
      </w:r>
      <w:r w:rsidRPr="00BB20DA">
        <w:rPr>
          <w:rFonts w:eastAsia="Times New Roman"/>
          <w:szCs w:val="24"/>
          <w:lang w:eastAsia="ko-KR"/>
        </w:rPr>
        <w:t>The agreement may not be signed as a convenient afterthought to give the commissioning party authorship rights.</w:t>
      </w:r>
      <w:r w:rsidR="009C4A0D">
        <w:rPr>
          <w:rFonts w:eastAsia="Times New Roman"/>
          <w:szCs w:val="24"/>
          <w:lang w:eastAsia="ko-KR"/>
        </w:rPr>
        <w:t xml:space="preserve"> </w:t>
      </w:r>
      <w:r w:rsidR="009C4A0D" w:rsidRPr="009C4A0D">
        <w:rPr>
          <w:rFonts w:eastAsia="Times New Roman"/>
          <w:i/>
          <w:szCs w:val="24"/>
          <w:lang w:eastAsia="ko-KR"/>
        </w:rPr>
        <w:t>Id.</w:t>
      </w:r>
      <w:r w:rsidRPr="00BB20DA">
        <w:rPr>
          <w:rFonts w:eastAsia="Times New Roman"/>
          <w:szCs w:val="24"/>
          <w:lang w:eastAsia="ko-KR"/>
        </w:rPr>
        <w:t xml:space="preserve"> </w:t>
      </w:r>
      <w:r w:rsidR="0045140B">
        <w:rPr>
          <w:rFonts w:eastAsia="Times New Roman"/>
          <w:szCs w:val="24"/>
          <w:lang w:eastAsia="ko-KR"/>
        </w:rPr>
        <w:t>In</w:t>
      </w:r>
      <w:r w:rsidR="00357ACB">
        <w:rPr>
          <w:rFonts w:eastAsia="Times New Roman"/>
          <w:szCs w:val="24"/>
          <w:lang w:eastAsia="ko-KR"/>
        </w:rPr>
        <w:t xml:space="preserve"> </w:t>
      </w:r>
      <w:r w:rsidR="00357ACB" w:rsidRPr="0045140B">
        <w:rPr>
          <w:rFonts w:eastAsia="Times New Roman"/>
          <w:i/>
          <w:szCs w:val="24"/>
          <w:lang w:eastAsia="ko-KR"/>
        </w:rPr>
        <w:t>Schiller</w:t>
      </w:r>
      <w:r w:rsidR="00357ACB">
        <w:rPr>
          <w:rFonts w:eastAsia="Times New Roman"/>
          <w:szCs w:val="24"/>
          <w:lang w:eastAsia="ko-KR"/>
        </w:rPr>
        <w:t xml:space="preserve">, </w:t>
      </w:r>
      <w:r w:rsidR="0045140B">
        <w:rPr>
          <w:rFonts w:eastAsia="Times New Roman"/>
          <w:szCs w:val="24"/>
          <w:lang w:eastAsia="ko-KR"/>
        </w:rPr>
        <w:t xml:space="preserve">the plaintiff </w:t>
      </w:r>
      <w:r w:rsidR="00357ACB">
        <w:rPr>
          <w:rFonts w:eastAsia="Times New Roman"/>
          <w:szCs w:val="24"/>
          <w:lang w:eastAsia="ko-KR"/>
        </w:rPr>
        <w:t xml:space="preserve">was a seller of office supplies, who brought a suit against a competitor, </w:t>
      </w:r>
      <w:proofErr w:type="spellStart"/>
      <w:r w:rsidR="00357ACB">
        <w:rPr>
          <w:rFonts w:eastAsia="Times New Roman"/>
          <w:szCs w:val="24"/>
          <w:lang w:eastAsia="ko-KR"/>
        </w:rPr>
        <w:t>Nordisco</w:t>
      </w:r>
      <w:proofErr w:type="spellEnd"/>
      <w:r w:rsidR="00357ACB">
        <w:rPr>
          <w:rFonts w:eastAsia="Times New Roman"/>
          <w:szCs w:val="24"/>
          <w:lang w:eastAsia="ko-KR"/>
        </w:rPr>
        <w:t xml:space="preserve">, charging copyright infringement and misappropriation of trade secrets. </w:t>
      </w:r>
      <w:r w:rsidR="005F49CD" w:rsidRPr="005F49CD">
        <w:rPr>
          <w:rFonts w:eastAsia="Times New Roman"/>
          <w:i/>
          <w:szCs w:val="24"/>
          <w:lang w:eastAsia="ko-KR"/>
        </w:rPr>
        <w:t>Id.</w:t>
      </w:r>
      <w:r w:rsidR="005F49CD">
        <w:rPr>
          <w:rFonts w:eastAsia="Times New Roman"/>
          <w:szCs w:val="24"/>
          <w:lang w:eastAsia="ko-KR"/>
        </w:rPr>
        <w:t xml:space="preserve"> James </w:t>
      </w:r>
      <w:proofErr w:type="spellStart"/>
      <w:r w:rsidR="005F49CD">
        <w:rPr>
          <w:rFonts w:eastAsia="Times New Roman"/>
          <w:szCs w:val="24"/>
          <w:lang w:eastAsia="ko-KR"/>
        </w:rPr>
        <w:t>Rybak</w:t>
      </w:r>
      <w:proofErr w:type="spellEnd"/>
      <w:r w:rsidR="005F49CD">
        <w:rPr>
          <w:rFonts w:eastAsia="Times New Roman"/>
          <w:szCs w:val="24"/>
          <w:lang w:eastAsia="ko-KR"/>
        </w:rPr>
        <w:t xml:space="preserve">, the nephew of Schiller’s president, Bernard Garvey, was an employee of the company, who later decided to form his own mail order business. </w:t>
      </w:r>
      <w:proofErr w:type="gramStart"/>
      <w:r w:rsidR="005F49CD" w:rsidRPr="005F49CD">
        <w:rPr>
          <w:rFonts w:eastAsia="Times New Roman"/>
          <w:i/>
          <w:szCs w:val="24"/>
          <w:lang w:eastAsia="ko-KR"/>
        </w:rPr>
        <w:t>Id</w:t>
      </w:r>
      <w:r w:rsidR="005F49CD">
        <w:rPr>
          <w:rFonts w:eastAsia="Times New Roman"/>
          <w:szCs w:val="24"/>
          <w:lang w:eastAsia="ko-KR"/>
        </w:rPr>
        <w:t>. at 411.</w:t>
      </w:r>
      <w:proofErr w:type="gramEnd"/>
      <w:r w:rsidR="005F49CD">
        <w:rPr>
          <w:rFonts w:eastAsia="Times New Roman"/>
          <w:szCs w:val="24"/>
          <w:lang w:eastAsia="ko-KR"/>
        </w:rPr>
        <w:t xml:space="preserve"> H</w:t>
      </w:r>
      <w:r w:rsidR="00AE1234">
        <w:rPr>
          <w:rFonts w:eastAsia="Times New Roman"/>
          <w:szCs w:val="24"/>
          <w:lang w:eastAsia="ko-KR"/>
        </w:rPr>
        <w:t xml:space="preserve">e took with him hundreds of photos including those he had commissioned on Schiller’s behalf from </w:t>
      </w:r>
      <w:r w:rsidR="0001371D">
        <w:rPr>
          <w:rFonts w:eastAsia="Times New Roman"/>
          <w:szCs w:val="24"/>
          <w:lang w:eastAsia="ko-KR"/>
        </w:rPr>
        <w:t xml:space="preserve">the photographer, </w:t>
      </w:r>
      <w:proofErr w:type="spellStart"/>
      <w:r w:rsidR="00AE1234">
        <w:rPr>
          <w:rFonts w:eastAsia="Times New Roman"/>
          <w:szCs w:val="24"/>
          <w:lang w:eastAsia="ko-KR"/>
        </w:rPr>
        <w:t>Bertel</w:t>
      </w:r>
      <w:proofErr w:type="spellEnd"/>
      <w:r w:rsidR="00AE1234">
        <w:rPr>
          <w:rFonts w:eastAsia="Times New Roman"/>
          <w:szCs w:val="24"/>
          <w:lang w:eastAsia="ko-KR"/>
        </w:rPr>
        <w:t xml:space="preserve"> and brought out its own catalog later in 1983. </w:t>
      </w:r>
      <w:r w:rsidR="00C229B9" w:rsidRPr="00C229B9">
        <w:rPr>
          <w:rFonts w:eastAsia="Times New Roman"/>
          <w:i/>
          <w:szCs w:val="24"/>
          <w:lang w:eastAsia="ko-KR"/>
        </w:rPr>
        <w:t>Id.</w:t>
      </w:r>
      <w:r w:rsidR="00C229B9">
        <w:rPr>
          <w:rFonts w:eastAsia="Times New Roman"/>
          <w:szCs w:val="24"/>
          <w:lang w:eastAsia="ko-KR"/>
        </w:rPr>
        <w:t xml:space="preserve"> </w:t>
      </w:r>
      <w:r w:rsidR="00AE1234">
        <w:rPr>
          <w:rFonts w:eastAsia="Times New Roman"/>
          <w:szCs w:val="24"/>
          <w:lang w:eastAsia="ko-KR"/>
        </w:rPr>
        <w:t>The is</w:t>
      </w:r>
      <w:r w:rsidR="00C229B9">
        <w:rPr>
          <w:rFonts w:eastAsia="Times New Roman"/>
          <w:szCs w:val="24"/>
          <w:lang w:eastAsia="ko-KR"/>
        </w:rPr>
        <w:t xml:space="preserve">sue in </w:t>
      </w:r>
      <w:r w:rsidR="00435454" w:rsidRPr="00435454">
        <w:rPr>
          <w:rFonts w:eastAsia="Times New Roman"/>
          <w:i/>
          <w:szCs w:val="24"/>
          <w:lang w:eastAsia="ko-KR"/>
        </w:rPr>
        <w:t>Schiller</w:t>
      </w:r>
      <w:r w:rsidR="00C229B9">
        <w:rPr>
          <w:rFonts w:eastAsia="Times New Roman"/>
          <w:szCs w:val="24"/>
          <w:lang w:eastAsia="ko-KR"/>
        </w:rPr>
        <w:t xml:space="preserve"> was that the written agreement signed by </w:t>
      </w:r>
      <w:proofErr w:type="spellStart"/>
      <w:r w:rsidR="00C229B9">
        <w:rPr>
          <w:rFonts w:eastAsia="Times New Roman"/>
          <w:szCs w:val="24"/>
          <w:lang w:eastAsia="ko-KR"/>
        </w:rPr>
        <w:t>Bertel</w:t>
      </w:r>
      <w:proofErr w:type="spellEnd"/>
      <w:r w:rsidR="00C229B9">
        <w:rPr>
          <w:rFonts w:eastAsia="Times New Roman"/>
          <w:szCs w:val="24"/>
          <w:lang w:eastAsia="ko-KR"/>
        </w:rPr>
        <w:t xml:space="preserve"> long after the photos were taken, did not meet the writing requirement under the 17 U.S.C. § 101(2). </w:t>
      </w:r>
      <w:proofErr w:type="gramStart"/>
      <w:r w:rsidR="00C229B9" w:rsidRPr="00C229B9">
        <w:rPr>
          <w:rFonts w:eastAsia="Times New Roman"/>
          <w:i/>
          <w:szCs w:val="24"/>
          <w:lang w:eastAsia="ko-KR"/>
        </w:rPr>
        <w:t>Id.</w:t>
      </w:r>
      <w:r w:rsidR="00C229B9">
        <w:rPr>
          <w:rFonts w:eastAsia="Times New Roman"/>
          <w:szCs w:val="24"/>
          <w:lang w:eastAsia="ko-KR"/>
        </w:rPr>
        <w:t xml:space="preserve"> at 412.</w:t>
      </w:r>
      <w:proofErr w:type="gramEnd"/>
    </w:p>
    <w:p w14:paraId="35FBA1CD" w14:textId="77777777" w:rsidR="009C4A0D" w:rsidRDefault="005A6D0A" w:rsidP="009C4A0D">
      <w:pPr>
        <w:ind w:firstLine="720"/>
        <w:rPr>
          <w:rFonts w:eastAsia="Times New Roman"/>
          <w:szCs w:val="24"/>
          <w:lang w:eastAsia="ko-KR"/>
        </w:rPr>
      </w:pPr>
      <w:r>
        <w:rPr>
          <w:rFonts w:eastAsia="Times New Roman"/>
          <w:szCs w:val="24"/>
          <w:lang w:eastAsia="ko-KR"/>
        </w:rPr>
        <w:t xml:space="preserve">In </w:t>
      </w:r>
      <w:r w:rsidR="00ED6041">
        <w:rPr>
          <w:rFonts w:eastAsia="Times New Roman"/>
          <w:szCs w:val="24"/>
          <w:lang w:eastAsia="ko-KR"/>
        </w:rPr>
        <w:t xml:space="preserve">contrast, the </w:t>
      </w:r>
      <w:r w:rsidR="009C4A0D">
        <w:rPr>
          <w:rFonts w:eastAsia="Times New Roman"/>
          <w:szCs w:val="24"/>
          <w:lang w:eastAsia="ko-KR"/>
        </w:rPr>
        <w:t>Second Circuit</w:t>
      </w:r>
      <w:r w:rsidR="00ED6041">
        <w:rPr>
          <w:rFonts w:eastAsia="Times New Roman"/>
          <w:szCs w:val="24"/>
          <w:lang w:eastAsia="ko-KR"/>
        </w:rPr>
        <w:t xml:space="preserve"> </w:t>
      </w:r>
      <w:r w:rsidR="009C4A0D">
        <w:rPr>
          <w:rFonts w:eastAsia="Times New Roman"/>
          <w:szCs w:val="24"/>
          <w:lang w:eastAsia="ko-KR"/>
        </w:rPr>
        <w:t xml:space="preserve">in </w:t>
      </w:r>
      <w:r w:rsidR="00ED6041" w:rsidRPr="00ED6041">
        <w:rPr>
          <w:rFonts w:eastAsia="Times New Roman"/>
          <w:i/>
          <w:szCs w:val="24"/>
          <w:lang w:eastAsia="ko-KR"/>
        </w:rPr>
        <w:t>Playboy</w:t>
      </w:r>
      <w:r w:rsidR="00ED6041">
        <w:rPr>
          <w:rFonts w:eastAsia="Times New Roman"/>
          <w:szCs w:val="24"/>
          <w:lang w:eastAsia="ko-KR"/>
        </w:rPr>
        <w:t xml:space="preserve"> found </w:t>
      </w:r>
      <w:r>
        <w:rPr>
          <w:rFonts w:eastAsia="Times New Roman"/>
          <w:szCs w:val="24"/>
          <w:lang w:eastAsia="ko-KR"/>
        </w:rPr>
        <w:t>that “the 1976 Act requires that the parties agree before the creation of the work that it will be a work made for hire.</w:t>
      </w:r>
      <w:r w:rsidR="009C4A0D">
        <w:rPr>
          <w:rFonts w:eastAsia="Times New Roman"/>
          <w:szCs w:val="24"/>
          <w:lang w:eastAsia="ko-KR"/>
        </w:rPr>
        <w:t>”</w:t>
      </w:r>
      <w:r>
        <w:rPr>
          <w:rFonts w:eastAsia="Times New Roman"/>
          <w:szCs w:val="24"/>
          <w:lang w:eastAsia="ko-KR"/>
        </w:rPr>
        <w:t xml:space="preserve"> </w:t>
      </w:r>
      <w:proofErr w:type="gramStart"/>
      <w:r w:rsidR="009C4A0D" w:rsidRPr="006C6E83">
        <w:rPr>
          <w:rFonts w:eastAsia="Times New Roman"/>
          <w:i/>
          <w:szCs w:val="24"/>
        </w:rPr>
        <w:t xml:space="preserve">Playboy </w:t>
      </w:r>
      <w:r w:rsidR="009C4A0D">
        <w:rPr>
          <w:rFonts w:eastAsia="Times New Roman"/>
          <w:szCs w:val="24"/>
        </w:rPr>
        <w:t>53 F.3d at 559.</w:t>
      </w:r>
      <w:proofErr w:type="gramEnd"/>
      <w:r w:rsidR="009C4A0D">
        <w:rPr>
          <w:rFonts w:eastAsia="Times New Roman"/>
          <w:szCs w:val="24"/>
        </w:rPr>
        <w:t xml:space="preserve"> </w:t>
      </w:r>
      <w:r w:rsidR="001D5B66">
        <w:rPr>
          <w:rFonts w:eastAsia="Times New Roman"/>
          <w:szCs w:val="24"/>
          <w:lang w:eastAsia="ko-KR"/>
        </w:rPr>
        <w:t>However, the court held that the writing requirement can be met with a writing executed after the work is created if it confirms a prior agreement.</w:t>
      </w:r>
      <w:r w:rsidR="009C4A0D">
        <w:rPr>
          <w:rFonts w:eastAsia="Times New Roman"/>
          <w:szCs w:val="24"/>
          <w:lang w:eastAsia="ko-KR"/>
        </w:rPr>
        <w:t xml:space="preserve"> </w:t>
      </w:r>
      <w:r w:rsidR="009C4A0D" w:rsidRPr="009C4A0D">
        <w:rPr>
          <w:rFonts w:eastAsia="Times New Roman"/>
          <w:i/>
          <w:szCs w:val="24"/>
          <w:lang w:eastAsia="ko-KR"/>
        </w:rPr>
        <w:t>Id.</w:t>
      </w:r>
      <w:r w:rsidR="001D5B66">
        <w:rPr>
          <w:rFonts w:eastAsia="Times New Roman"/>
          <w:szCs w:val="24"/>
          <w:lang w:eastAsia="ko-KR"/>
        </w:rPr>
        <w:t xml:space="preserve"> </w:t>
      </w:r>
      <w:r w:rsidR="00C229B9">
        <w:rPr>
          <w:rFonts w:eastAsia="Times New Roman"/>
          <w:szCs w:val="24"/>
          <w:lang w:eastAsia="ko-KR"/>
        </w:rPr>
        <w:t xml:space="preserve">The </w:t>
      </w:r>
      <w:r w:rsidR="00C229B9" w:rsidRPr="00C229B9">
        <w:rPr>
          <w:rFonts w:eastAsia="Times New Roman"/>
          <w:i/>
          <w:szCs w:val="24"/>
          <w:lang w:eastAsia="ko-KR"/>
        </w:rPr>
        <w:t>Playboy</w:t>
      </w:r>
      <w:r w:rsidR="00C229B9">
        <w:rPr>
          <w:rFonts w:eastAsia="Times New Roman"/>
          <w:szCs w:val="24"/>
          <w:lang w:eastAsia="ko-KR"/>
        </w:rPr>
        <w:t xml:space="preserve"> case deals </w:t>
      </w:r>
      <w:r w:rsidR="00C229B9">
        <w:rPr>
          <w:rFonts w:eastAsia="Times New Roman"/>
          <w:szCs w:val="24"/>
          <w:lang w:eastAsia="ko-KR"/>
        </w:rPr>
        <w:lastRenderedPageBreak/>
        <w:t xml:space="preserve">with </w:t>
      </w:r>
      <w:r w:rsidR="00A501D8">
        <w:rPr>
          <w:rFonts w:eastAsia="Times New Roman"/>
          <w:szCs w:val="24"/>
          <w:lang w:eastAsia="ko-KR"/>
        </w:rPr>
        <w:t xml:space="preserve">paintings of Patrick Nagel, an artist who from 1974 until his death in 1984 produced approximately 285 pieces of artwork which were published in Playboy magazine. </w:t>
      </w:r>
      <w:proofErr w:type="gramStart"/>
      <w:r w:rsidR="00A501D8" w:rsidRPr="00A501D8">
        <w:rPr>
          <w:rFonts w:eastAsia="Times New Roman"/>
          <w:i/>
          <w:szCs w:val="24"/>
          <w:lang w:eastAsia="ko-KR"/>
        </w:rPr>
        <w:t>Id.</w:t>
      </w:r>
      <w:r w:rsidR="00A501D8">
        <w:rPr>
          <w:rFonts w:eastAsia="Times New Roman"/>
          <w:szCs w:val="24"/>
          <w:lang w:eastAsia="ko-KR"/>
        </w:rPr>
        <w:t xml:space="preserve"> at 552.</w:t>
      </w:r>
      <w:proofErr w:type="gramEnd"/>
      <w:r w:rsidR="00A501D8">
        <w:rPr>
          <w:rFonts w:eastAsia="Times New Roman"/>
          <w:szCs w:val="24"/>
          <w:lang w:eastAsia="ko-KR"/>
        </w:rPr>
        <w:t xml:space="preserve"> All of the works were done without a formal agreement, the only indication as to the rights transferred being the legends on various checks, all of which were endorsed after the works had been delivered. </w:t>
      </w:r>
      <w:proofErr w:type="gramStart"/>
      <w:r w:rsidR="0001371D" w:rsidRPr="0001371D">
        <w:rPr>
          <w:rFonts w:eastAsia="Times New Roman"/>
          <w:i/>
          <w:szCs w:val="24"/>
          <w:lang w:eastAsia="ko-KR"/>
        </w:rPr>
        <w:t>Id.</w:t>
      </w:r>
      <w:r w:rsidR="0001371D">
        <w:rPr>
          <w:rFonts w:eastAsia="Times New Roman"/>
          <w:szCs w:val="24"/>
          <w:lang w:eastAsia="ko-KR"/>
        </w:rPr>
        <w:t xml:space="preserve"> at 552-53.</w:t>
      </w:r>
      <w:proofErr w:type="gramEnd"/>
      <w:r w:rsidR="0001371D">
        <w:rPr>
          <w:rFonts w:eastAsia="Times New Roman"/>
          <w:szCs w:val="24"/>
          <w:lang w:eastAsia="ko-KR"/>
        </w:rPr>
        <w:t xml:space="preserve"> </w:t>
      </w:r>
      <w:r w:rsidR="00C229B9">
        <w:rPr>
          <w:rFonts w:eastAsia="Times New Roman"/>
          <w:szCs w:val="24"/>
          <w:lang w:eastAsia="ko-KR"/>
        </w:rPr>
        <w:t>T</w:t>
      </w:r>
      <w:r w:rsidR="009C4A0D">
        <w:rPr>
          <w:rFonts w:eastAsia="Times New Roman"/>
          <w:szCs w:val="24"/>
          <w:lang w:eastAsia="ko-KR"/>
        </w:rPr>
        <w:t xml:space="preserve">he facts of </w:t>
      </w:r>
      <w:r w:rsidR="009C4A0D" w:rsidRPr="009C4A0D">
        <w:rPr>
          <w:rFonts w:eastAsia="Times New Roman"/>
          <w:i/>
          <w:szCs w:val="24"/>
          <w:lang w:eastAsia="ko-KR"/>
        </w:rPr>
        <w:t>Playboy</w:t>
      </w:r>
      <w:r w:rsidR="009C4A0D">
        <w:rPr>
          <w:rFonts w:eastAsia="Times New Roman"/>
          <w:szCs w:val="24"/>
          <w:lang w:eastAsia="ko-KR"/>
        </w:rPr>
        <w:t xml:space="preserve"> are distinguishable from the present </w:t>
      </w:r>
      <w:r w:rsidR="00A501D8">
        <w:rPr>
          <w:rFonts w:eastAsia="Times New Roman"/>
          <w:szCs w:val="24"/>
          <w:lang w:eastAsia="ko-KR"/>
        </w:rPr>
        <w:t>case based on the relationship between the parties. Nagel produced over</w:t>
      </w:r>
      <w:r w:rsidR="00732E24">
        <w:rPr>
          <w:rFonts w:eastAsia="Times New Roman"/>
          <w:szCs w:val="24"/>
          <w:lang w:eastAsia="ko-KR"/>
        </w:rPr>
        <w:t xml:space="preserve"> 285 pieces of artwork over nine year period for the Playboy magazine.</w:t>
      </w:r>
      <w:r w:rsidR="0001371D">
        <w:rPr>
          <w:rFonts w:eastAsia="Times New Roman"/>
          <w:szCs w:val="24"/>
          <w:lang w:eastAsia="ko-KR"/>
        </w:rPr>
        <w:t xml:space="preserve"> </w:t>
      </w:r>
      <w:r w:rsidR="0001371D" w:rsidRPr="0001371D">
        <w:rPr>
          <w:rFonts w:eastAsia="Times New Roman"/>
          <w:i/>
          <w:szCs w:val="24"/>
          <w:lang w:eastAsia="ko-KR"/>
        </w:rPr>
        <w:t>Id.</w:t>
      </w:r>
      <w:r w:rsidR="00732E24">
        <w:rPr>
          <w:rFonts w:eastAsia="Times New Roman"/>
          <w:szCs w:val="24"/>
          <w:lang w:eastAsia="ko-KR"/>
        </w:rPr>
        <w:t xml:space="preserve"> The longevity of the relationship and the number of work produced by </w:t>
      </w:r>
      <w:r w:rsidR="0001371D">
        <w:rPr>
          <w:rFonts w:eastAsia="Times New Roman"/>
          <w:szCs w:val="24"/>
          <w:lang w:eastAsia="ko-KR"/>
        </w:rPr>
        <w:t>Nagel</w:t>
      </w:r>
      <w:r w:rsidR="00732E24">
        <w:rPr>
          <w:rFonts w:eastAsia="Times New Roman"/>
          <w:szCs w:val="24"/>
          <w:lang w:eastAsia="ko-KR"/>
        </w:rPr>
        <w:t xml:space="preserve"> </w:t>
      </w:r>
      <w:r w:rsidR="0045140B">
        <w:rPr>
          <w:rFonts w:eastAsia="Times New Roman"/>
          <w:szCs w:val="24"/>
          <w:lang w:eastAsia="ko-KR"/>
        </w:rPr>
        <w:t>supports</w:t>
      </w:r>
      <w:r w:rsidR="00732E24">
        <w:rPr>
          <w:rFonts w:eastAsia="Times New Roman"/>
          <w:szCs w:val="24"/>
          <w:lang w:eastAsia="ko-KR"/>
        </w:rPr>
        <w:t xml:space="preserve"> an assumption that the parties implicitl</w:t>
      </w:r>
      <w:r w:rsidR="0001371D">
        <w:rPr>
          <w:rFonts w:eastAsia="Times New Roman"/>
          <w:szCs w:val="24"/>
          <w:lang w:eastAsia="ko-KR"/>
        </w:rPr>
        <w:t xml:space="preserve">y agreed to </w:t>
      </w:r>
      <w:r w:rsidR="0045140B">
        <w:rPr>
          <w:rFonts w:eastAsia="Times New Roman"/>
          <w:szCs w:val="24"/>
          <w:lang w:eastAsia="ko-KR"/>
        </w:rPr>
        <w:t>“</w:t>
      </w:r>
      <w:r w:rsidR="0001371D">
        <w:rPr>
          <w:rFonts w:eastAsia="Times New Roman"/>
          <w:szCs w:val="24"/>
          <w:lang w:eastAsia="ko-KR"/>
        </w:rPr>
        <w:t>work made for hire.</w:t>
      </w:r>
      <w:r w:rsidR="0045140B">
        <w:rPr>
          <w:rFonts w:eastAsia="Times New Roman"/>
          <w:szCs w:val="24"/>
          <w:lang w:eastAsia="ko-KR"/>
        </w:rPr>
        <w:t>”</w:t>
      </w:r>
      <w:r w:rsidR="0001371D">
        <w:rPr>
          <w:rFonts w:eastAsia="Times New Roman"/>
          <w:szCs w:val="24"/>
          <w:lang w:eastAsia="ko-KR"/>
        </w:rPr>
        <w:t xml:space="preserve"> This is absent in </w:t>
      </w:r>
      <w:r w:rsidR="0045140B">
        <w:rPr>
          <w:rFonts w:eastAsia="Times New Roman"/>
          <w:szCs w:val="24"/>
          <w:lang w:eastAsia="ko-KR"/>
        </w:rPr>
        <w:t xml:space="preserve">this </w:t>
      </w:r>
      <w:r w:rsidR="0001371D">
        <w:rPr>
          <w:rFonts w:eastAsia="Times New Roman"/>
          <w:szCs w:val="24"/>
          <w:lang w:eastAsia="ko-KR"/>
        </w:rPr>
        <w:t xml:space="preserve">case. </w:t>
      </w:r>
      <w:r w:rsidR="00732E24">
        <w:rPr>
          <w:rFonts w:eastAsia="Times New Roman"/>
          <w:szCs w:val="24"/>
          <w:lang w:eastAsia="ko-KR"/>
        </w:rPr>
        <w:t xml:space="preserve">Ms. Lime had never written </w:t>
      </w:r>
      <w:r w:rsidR="00DF3441">
        <w:rPr>
          <w:rFonts w:eastAsia="Times New Roman"/>
          <w:szCs w:val="24"/>
          <w:lang w:eastAsia="ko-KR"/>
        </w:rPr>
        <w:t xml:space="preserve">a screenplay </w:t>
      </w:r>
      <w:r w:rsidR="00732E24">
        <w:rPr>
          <w:rFonts w:eastAsia="Times New Roman"/>
          <w:szCs w:val="24"/>
          <w:lang w:eastAsia="ko-KR"/>
        </w:rPr>
        <w:t>for Plaintiff before</w:t>
      </w:r>
      <w:r w:rsidR="00DF3441">
        <w:rPr>
          <w:rFonts w:eastAsia="Times New Roman"/>
          <w:szCs w:val="24"/>
          <w:lang w:eastAsia="ko-KR"/>
        </w:rPr>
        <w:t xml:space="preserve"> and</w:t>
      </w:r>
      <w:r w:rsidR="00732E24">
        <w:rPr>
          <w:rFonts w:eastAsia="Times New Roman"/>
          <w:szCs w:val="24"/>
          <w:lang w:eastAsia="ko-KR"/>
        </w:rPr>
        <w:t xml:space="preserve"> the “Anticipatory Repudiation,” </w:t>
      </w:r>
      <w:r w:rsidR="00DF3441">
        <w:rPr>
          <w:rFonts w:eastAsia="Times New Roman"/>
          <w:szCs w:val="24"/>
          <w:lang w:eastAsia="ko-KR"/>
        </w:rPr>
        <w:t>was</w:t>
      </w:r>
      <w:r w:rsidR="00732E24">
        <w:rPr>
          <w:rFonts w:eastAsia="Times New Roman"/>
          <w:szCs w:val="24"/>
          <w:lang w:eastAsia="ko-KR"/>
        </w:rPr>
        <w:t xml:space="preserve"> the only work she produced for Plaintiff. (</w:t>
      </w:r>
      <w:r w:rsidR="007A3779" w:rsidRPr="007A3779">
        <w:rPr>
          <w:rFonts w:eastAsia="Times New Roman"/>
          <w:i/>
          <w:szCs w:val="24"/>
          <w:lang w:eastAsia="ko-KR"/>
        </w:rPr>
        <w:t>See</w:t>
      </w:r>
      <w:r w:rsidR="007A3779" w:rsidRPr="007A3779">
        <w:rPr>
          <w:rFonts w:eastAsia="Times New Roman"/>
          <w:szCs w:val="24"/>
          <w:lang w:eastAsia="ko-KR"/>
        </w:rPr>
        <w:t xml:space="preserve"> </w:t>
      </w:r>
      <w:proofErr w:type="spellStart"/>
      <w:r w:rsidR="00732E24">
        <w:rPr>
          <w:rFonts w:eastAsia="Times New Roman"/>
          <w:szCs w:val="24"/>
          <w:lang w:eastAsia="ko-KR"/>
        </w:rPr>
        <w:t>Compl</w:t>
      </w:r>
      <w:proofErr w:type="spellEnd"/>
      <w:r w:rsidR="00732E24">
        <w:rPr>
          <w:rFonts w:eastAsia="Times New Roman"/>
          <w:szCs w:val="24"/>
          <w:lang w:eastAsia="ko-KR"/>
        </w:rPr>
        <w:t>. ¶ 3.)</w:t>
      </w:r>
      <w:r w:rsidR="00DF3441">
        <w:rPr>
          <w:rFonts w:eastAsia="Times New Roman"/>
          <w:szCs w:val="24"/>
          <w:lang w:eastAsia="ko-KR"/>
        </w:rPr>
        <w:t xml:space="preserve"> </w:t>
      </w:r>
    </w:p>
    <w:p w14:paraId="117B0892" w14:textId="77777777" w:rsidR="005A6D0A" w:rsidRDefault="00041D54" w:rsidP="009C4A0D">
      <w:pPr>
        <w:ind w:firstLine="720"/>
        <w:rPr>
          <w:rFonts w:eastAsia="Times New Roman"/>
          <w:szCs w:val="24"/>
          <w:lang w:eastAsia="ko-KR"/>
        </w:rPr>
      </w:pPr>
      <w:r>
        <w:rPr>
          <w:rFonts w:eastAsia="Times New Roman"/>
          <w:szCs w:val="24"/>
          <w:lang w:eastAsia="ko-KR"/>
        </w:rPr>
        <w:t>Furthermore, while</w:t>
      </w:r>
      <w:r w:rsidR="009C4A0D">
        <w:rPr>
          <w:rFonts w:eastAsia="Times New Roman"/>
          <w:szCs w:val="24"/>
          <w:lang w:eastAsia="ko-KR"/>
        </w:rPr>
        <w:t xml:space="preserve"> </w:t>
      </w:r>
      <w:r w:rsidR="007A3779">
        <w:rPr>
          <w:rFonts w:eastAsia="Times New Roman"/>
          <w:szCs w:val="24"/>
          <w:lang w:eastAsia="ko-KR"/>
        </w:rPr>
        <w:t>there was a</w:t>
      </w:r>
      <w:r w:rsidR="00AD486B">
        <w:rPr>
          <w:rFonts w:eastAsia="Times New Roman"/>
          <w:szCs w:val="24"/>
          <w:lang w:eastAsia="ko-KR"/>
        </w:rPr>
        <w:t xml:space="preserve"> formal agreement</w:t>
      </w:r>
      <w:r w:rsidR="007A3779">
        <w:rPr>
          <w:rFonts w:eastAsia="Times New Roman"/>
          <w:szCs w:val="24"/>
          <w:lang w:eastAsia="ko-KR"/>
        </w:rPr>
        <w:t xml:space="preserve"> at issue in </w:t>
      </w:r>
      <w:r w:rsidR="007A3779" w:rsidRPr="007A3779">
        <w:rPr>
          <w:rFonts w:eastAsia="Times New Roman"/>
          <w:i/>
          <w:szCs w:val="24"/>
          <w:lang w:eastAsia="ko-KR"/>
        </w:rPr>
        <w:t>Schiller</w:t>
      </w:r>
      <w:r w:rsidR="00AD486B">
        <w:rPr>
          <w:rFonts w:eastAsia="Times New Roman"/>
          <w:szCs w:val="24"/>
          <w:lang w:eastAsia="ko-KR"/>
        </w:rPr>
        <w:t xml:space="preserve">, in </w:t>
      </w:r>
      <w:r w:rsidR="00AD486B" w:rsidRPr="00041D54">
        <w:rPr>
          <w:rFonts w:eastAsia="Times New Roman"/>
          <w:i/>
          <w:szCs w:val="24"/>
          <w:lang w:eastAsia="ko-KR"/>
        </w:rPr>
        <w:t>Playboy</w:t>
      </w:r>
      <w:r w:rsidR="00AD486B">
        <w:rPr>
          <w:rFonts w:eastAsia="Times New Roman"/>
          <w:szCs w:val="24"/>
          <w:lang w:eastAsia="ko-KR"/>
        </w:rPr>
        <w:t>, there was no formal contract and the only writing existed relative to the claims of rights ownership were a series of checks that bore various legen</w:t>
      </w:r>
      <w:r>
        <w:rPr>
          <w:rFonts w:eastAsia="Times New Roman"/>
          <w:szCs w:val="24"/>
          <w:lang w:eastAsia="ko-KR"/>
        </w:rPr>
        <w:t>ds at various times.</w:t>
      </w:r>
      <w:r w:rsidR="00732E24">
        <w:rPr>
          <w:rFonts w:eastAsia="Times New Roman"/>
          <w:szCs w:val="24"/>
          <w:lang w:eastAsia="ko-KR"/>
        </w:rPr>
        <w:t xml:space="preserve"> </w:t>
      </w:r>
      <w:r w:rsidR="007A3779">
        <w:rPr>
          <w:rFonts w:eastAsia="Times New Roman"/>
          <w:szCs w:val="24"/>
          <w:lang w:eastAsia="ko-KR"/>
        </w:rPr>
        <w:t>(</w:t>
      </w:r>
      <w:r w:rsidR="007A3779" w:rsidRPr="007A3779">
        <w:rPr>
          <w:rFonts w:eastAsia="Times New Roman"/>
          <w:i/>
          <w:szCs w:val="24"/>
          <w:lang w:eastAsia="ko-KR"/>
        </w:rPr>
        <w:t>See</w:t>
      </w:r>
      <w:r w:rsidR="007A3779">
        <w:rPr>
          <w:rFonts w:eastAsia="Times New Roman"/>
          <w:szCs w:val="24"/>
          <w:lang w:eastAsia="ko-KR"/>
        </w:rPr>
        <w:t xml:space="preserve"> Schiller, 969 F.2d at 412; Playboy, 53 F.3d at 552-53). </w:t>
      </w:r>
      <w:r w:rsidR="009563DB">
        <w:rPr>
          <w:rFonts w:eastAsia="Times New Roman"/>
          <w:szCs w:val="24"/>
          <w:lang w:eastAsia="ko-KR"/>
        </w:rPr>
        <w:t>This case deals</w:t>
      </w:r>
      <w:r w:rsidR="002B2D59">
        <w:rPr>
          <w:rFonts w:eastAsia="Times New Roman"/>
          <w:szCs w:val="24"/>
          <w:lang w:eastAsia="ko-KR"/>
        </w:rPr>
        <w:t xml:space="preserve"> with the issue of whether the written</w:t>
      </w:r>
      <w:r w:rsidR="009563DB">
        <w:rPr>
          <w:rFonts w:eastAsia="Times New Roman"/>
          <w:szCs w:val="24"/>
          <w:lang w:eastAsia="ko-KR"/>
        </w:rPr>
        <w:t xml:space="preserve"> agreement </w:t>
      </w:r>
      <w:r w:rsidR="002B2D59">
        <w:rPr>
          <w:rFonts w:eastAsia="Times New Roman"/>
          <w:szCs w:val="24"/>
          <w:lang w:eastAsia="ko-KR"/>
        </w:rPr>
        <w:t>that took place after the screenplay</w:t>
      </w:r>
      <w:r w:rsidR="009563DB">
        <w:rPr>
          <w:rFonts w:eastAsia="Times New Roman"/>
          <w:szCs w:val="24"/>
          <w:lang w:eastAsia="ko-KR"/>
        </w:rPr>
        <w:t xml:space="preserve"> had been created </w:t>
      </w:r>
      <w:r w:rsidR="002B2D59">
        <w:rPr>
          <w:rFonts w:eastAsia="Times New Roman"/>
          <w:szCs w:val="24"/>
          <w:lang w:eastAsia="ko-KR"/>
        </w:rPr>
        <w:t xml:space="preserve">by Ms. Lime </w:t>
      </w:r>
      <w:r w:rsidR="009563DB">
        <w:rPr>
          <w:rFonts w:eastAsia="Times New Roman"/>
          <w:szCs w:val="24"/>
          <w:lang w:eastAsia="ko-KR"/>
        </w:rPr>
        <w:t>meets the writing requirement under the 17 U.S.C. § 101(2)</w:t>
      </w:r>
      <w:r w:rsidR="002B2D59">
        <w:rPr>
          <w:rFonts w:eastAsia="Times New Roman"/>
          <w:szCs w:val="24"/>
          <w:lang w:eastAsia="ko-KR"/>
        </w:rPr>
        <w:t xml:space="preserve">. </w:t>
      </w:r>
      <w:r w:rsidR="009563DB">
        <w:rPr>
          <w:rFonts w:eastAsia="Times New Roman"/>
          <w:szCs w:val="24"/>
          <w:lang w:eastAsia="ko-KR"/>
        </w:rPr>
        <w:t xml:space="preserve"> </w:t>
      </w:r>
      <w:r w:rsidR="002B2D59">
        <w:rPr>
          <w:rFonts w:eastAsia="Times New Roman"/>
          <w:szCs w:val="24"/>
          <w:lang w:eastAsia="ko-KR"/>
        </w:rPr>
        <w:t xml:space="preserve">Thus, this case is much more analogous to </w:t>
      </w:r>
      <w:r w:rsidR="002B2D59" w:rsidRPr="002B2D59">
        <w:rPr>
          <w:rFonts w:eastAsia="Times New Roman"/>
          <w:i/>
          <w:szCs w:val="24"/>
          <w:lang w:eastAsia="ko-KR"/>
        </w:rPr>
        <w:t>Schiller</w:t>
      </w:r>
      <w:r w:rsidR="002B2D59">
        <w:rPr>
          <w:rFonts w:eastAsia="Times New Roman"/>
          <w:szCs w:val="24"/>
          <w:lang w:eastAsia="ko-KR"/>
        </w:rPr>
        <w:t xml:space="preserve"> case.</w:t>
      </w:r>
      <w:r w:rsidR="009563DB">
        <w:rPr>
          <w:rFonts w:eastAsia="Times New Roman"/>
          <w:szCs w:val="24"/>
          <w:lang w:eastAsia="ko-KR"/>
        </w:rPr>
        <w:t xml:space="preserve"> </w:t>
      </w:r>
    </w:p>
    <w:p w14:paraId="38048D60" w14:textId="77777777" w:rsidR="001C5F4D" w:rsidRPr="00D609E7" w:rsidRDefault="001C5F4D" w:rsidP="009C4A0D">
      <w:pPr>
        <w:ind w:firstLine="720"/>
        <w:rPr>
          <w:rFonts w:eastAsia="Times New Roman"/>
          <w:szCs w:val="24"/>
          <w:lang w:eastAsia="ko-KR"/>
        </w:rPr>
      </w:pPr>
      <w:r>
        <w:rPr>
          <w:rFonts w:eastAsia="Times New Roman"/>
          <w:szCs w:val="24"/>
          <w:lang w:eastAsia="ko-KR"/>
        </w:rPr>
        <w:t xml:space="preserve">When </w:t>
      </w:r>
      <w:r w:rsidR="002B2D59">
        <w:rPr>
          <w:rFonts w:eastAsia="Times New Roman"/>
          <w:szCs w:val="24"/>
          <w:lang w:eastAsia="ko-KR"/>
        </w:rPr>
        <w:t xml:space="preserve">the court in </w:t>
      </w:r>
      <w:r w:rsidRPr="00041D54">
        <w:rPr>
          <w:rFonts w:eastAsia="Times New Roman"/>
          <w:i/>
          <w:szCs w:val="24"/>
          <w:lang w:eastAsia="ko-KR"/>
        </w:rPr>
        <w:t>Playboy</w:t>
      </w:r>
      <w:r w:rsidR="00041D54">
        <w:rPr>
          <w:rFonts w:eastAsia="Times New Roman"/>
          <w:i/>
          <w:szCs w:val="24"/>
          <w:lang w:eastAsia="ko-KR"/>
        </w:rPr>
        <w:t xml:space="preserve"> </w:t>
      </w:r>
      <w:r>
        <w:rPr>
          <w:rFonts w:eastAsia="Times New Roman"/>
          <w:szCs w:val="24"/>
          <w:lang w:eastAsia="ko-KR"/>
        </w:rPr>
        <w:t xml:space="preserve">declined to follow the result from </w:t>
      </w:r>
      <w:r w:rsidRPr="00ED6041">
        <w:rPr>
          <w:rFonts w:eastAsia="Times New Roman"/>
          <w:i/>
          <w:szCs w:val="24"/>
          <w:lang w:eastAsia="ko-KR"/>
        </w:rPr>
        <w:t>Schiller</w:t>
      </w:r>
      <w:r w:rsidR="00ED6041">
        <w:rPr>
          <w:rFonts w:eastAsia="Times New Roman"/>
          <w:szCs w:val="24"/>
          <w:lang w:eastAsia="ko-KR"/>
        </w:rPr>
        <w:t>, the c</w:t>
      </w:r>
      <w:r>
        <w:rPr>
          <w:rFonts w:eastAsia="Times New Roman"/>
          <w:szCs w:val="24"/>
          <w:lang w:eastAsia="ko-KR"/>
        </w:rPr>
        <w:t xml:space="preserve">ourt quoted </w:t>
      </w:r>
      <w:proofErr w:type="spellStart"/>
      <w:r w:rsidRPr="00041D54">
        <w:rPr>
          <w:rFonts w:eastAsia="Times New Roman"/>
          <w:i/>
          <w:szCs w:val="24"/>
          <w:lang w:eastAsia="ko-KR"/>
        </w:rPr>
        <w:t>Nimmer</w:t>
      </w:r>
      <w:proofErr w:type="spellEnd"/>
      <w:r w:rsidR="00041D54">
        <w:rPr>
          <w:rFonts w:eastAsia="Times New Roman"/>
          <w:szCs w:val="24"/>
          <w:lang w:eastAsia="ko-KR"/>
        </w:rPr>
        <w:t xml:space="preserve"> </w:t>
      </w:r>
      <w:r w:rsidR="00041D54" w:rsidRPr="00041D54">
        <w:rPr>
          <w:rFonts w:eastAsia="Times New Roman"/>
          <w:i/>
          <w:szCs w:val="24"/>
          <w:lang w:eastAsia="ko-KR"/>
        </w:rPr>
        <w:t>on Copyright</w:t>
      </w:r>
      <w:r w:rsidRPr="00041D54">
        <w:rPr>
          <w:rFonts w:eastAsia="Times New Roman"/>
          <w:i/>
          <w:szCs w:val="24"/>
          <w:lang w:eastAsia="ko-KR"/>
        </w:rPr>
        <w:t xml:space="preserve"> </w:t>
      </w:r>
      <w:r>
        <w:rPr>
          <w:rFonts w:eastAsia="Times New Roman"/>
          <w:szCs w:val="24"/>
          <w:lang w:eastAsia="ko-KR"/>
        </w:rPr>
        <w:t xml:space="preserve">§ 5.03[B][2][b] (1994) in concluding that the writing requirement of § 101(2) can be met by a writing executed after the work is created, stating that “this rule needs further testing in the crucible of fact patterns by future cases.” </w:t>
      </w:r>
      <w:r w:rsidR="00041D54">
        <w:rPr>
          <w:rFonts w:eastAsia="Times New Roman"/>
          <w:szCs w:val="24"/>
          <w:lang w:eastAsia="ko-KR"/>
        </w:rPr>
        <w:t xml:space="preserve">This further supports the argument that the decision in </w:t>
      </w:r>
      <w:r w:rsidR="00041D54" w:rsidRPr="00041D54">
        <w:rPr>
          <w:rFonts w:eastAsia="Times New Roman"/>
          <w:i/>
          <w:szCs w:val="24"/>
          <w:lang w:eastAsia="ko-KR"/>
        </w:rPr>
        <w:t xml:space="preserve">Playboy </w:t>
      </w:r>
      <w:r w:rsidR="00041D54">
        <w:rPr>
          <w:rFonts w:eastAsia="Times New Roman"/>
          <w:szCs w:val="24"/>
          <w:lang w:eastAsia="ko-KR"/>
        </w:rPr>
        <w:t xml:space="preserve">may be distinguished based on </w:t>
      </w:r>
      <w:r w:rsidR="002B2D59">
        <w:rPr>
          <w:rFonts w:eastAsia="Times New Roman"/>
          <w:szCs w:val="24"/>
          <w:lang w:eastAsia="ko-KR"/>
        </w:rPr>
        <w:t>the</w:t>
      </w:r>
      <w:r w:rsidR="00357ACB">
        <w:rPr>
          <w:rFonts w:eastAsia="Times New Roman"/>
          <w:szCs w:val="24"/>
          <w:lang w:eastAsia="ko-KR"/>
        </w:rPr>
        <w:t xml:space="preserve"> fact patterns</w:t>
      </w:r>
      <w:r w:rsidR="002B2D59">
        <w:rPr>
          <w:rFonts w:eastAsia="Times New Roman"/>
          <w:szCs w:val="24"/>
          <w:lang w:eastAsia="ko-KR"/>
        </w:rPr>
        <w:t xml:space="preserve"> of the future cases</w:t>
      </w:r>
      <w:r w:rsidR="00041D54">
        <w:rPr>
          <w:rFonts w:eastAsia="Times New Roman"/>
          <w:szCs w:val="24"/>
          <w:lang w:eastAsia="ko-KR"/>
        </w:rPr>
        <w:t xml:space="preserve">. </w:t>
      </w:r>
      <w:r w:rsidR="00041D54">
        <w:rPr>
          <w:rFonts w:eastAsia="Times New Roman"/>
          <w:szCs w:val="24"/>
          <w:lang w:eastAsia="ko-KR"/>
        </w:rPr>
        <w:lastRenderedPageBreak/>
        <w:t xml:space="preserve">In this case, </w:t>
      </w:r>
      <w:r w:rsidR="00357ACB">
        <w:rPr>
          <w:rFonts w:eastAsia="Times New Roman"/>
          <w:szCs w:val="24"/>
          <w:lang w:eastAsia="ko-KR"/>
        </w:rPr>
        <w:t>the</w:t>
      </w:r>
      <w:r w:rsidR="00041D54">
        <w:rPr>
          <w:rFonts w:eastAsia="Times New Roman"/>
          <w:szCs w:val="24"/>
          <w:lang w:eastAsia="ko-KR"/>
        </w:rPr>
        <w:t xml:space="preserve"> important difference</w:t>
      </w:r>
      <w:r w:rsidR="00357ACB">
        <w:rPr>
          <w:rFonts w:eastAsia="Times New Roman"/>
          <w:szCs w:val="24"/>
          <w:lang w:eastAsia="ko-KR"/>
        </w:rPr>
        <w:t>s</w:t>
      </w:r>
      <w:r w:rsidR="00041D54">
        <w:rPr>
          <w:rFonts w:eastAsia="Times New Roman"/>
          <w:szCs w:val="24"/>
          <w:lang w:eastAsia="ko-KR"/>
        </w:rPr>
        <w:t xml:space="preserve"> in fact</w:t>
      </w:r>
      <w:r w:rsidR="00357ACB">
        <w:rPr>
          <w:rFonts w:eastAsia="Times New Roman"/>
          <w:szCs w:val="24"/>
          <w:lang w:eastAsia="ko-KR"/>
        </w:rPr>
        <w:t>s</w:t>
      </w:r>
      <w:r w:rsidR="00041D54">
        <w:rPr>
          <w:rFonts w:eastAsia="Times New Roman"/>
          <w:szCs w:val="24"/>
          <w:lang w:eastAsia="ko-KR"/>
        </w:rPr>
        <w:t xml:space="preserve"> suggest that this </w:t>
      </w:r>
      <w:r w:rsidR="002B2D59">
        <w:rPr>
          <w:rFonts w:eastAsia="Times New Roman"/>
          <w:szCs w:val="24"/>
          <w:lang w:eastAsia="ko-KR"/>
        </w:rPr>
        <w:t>C</w:t>
      </w:r>
      <w:r w:rsidR="00357ACB">
        <w:rPr>
          <w:rFonts w:eastAsia="Times New Roman"/>
          <w:szCs w:val="24"/>
          <w:lang w:eastAsia="ko-KR"/>
        </w:rPr>
        <w:t xml:space="preserve">ourt </w:t>
      </w:r>
      <w:r w:rsidR="00041D54">
        <w:rPr>
          <w:rFonts w:eastAsia="Times New Roman"/>
          <w:szCs w:val="24"/>
          <w:lang w:eastAsia="ko-KR"/>
        </w:rPr>
        <w:t xml:space="preserve">should follow the decision </w:t>
      </w:r>
      <w:r w:rsidR="002B2D59">
        <w:rPr>
          <w:rFonts w:eastAsia="Times New Roman"/>
          <w:szCs w:val="24"/>
          <w:lang w:eastAsia="ko-KR"/>
        </w:rPr>
        <w:t>in</w:t>
      </w:r>
      <w:r w:rsidR="00357ACB">
        <w:rPr>
          <w:rFonts w:eastAsia="Times New Roman"/>
          <w:szCs w:val="24"/>
          <w:lang w:eastAsia="ko-KR"/>
        </w:rPr>
        <w:t xml:space="preserve"> </w:t>
      </w:r>
      <w:r w:rsidR="00041D54" w:rsidRPr="00041D54">
        <w:rPr>
          <w:rFonts w:eastAsia="Times New Roman"/>
          <w:i/>
          <w:szCs w:val="24"/>
          <w:lang w:eastAsia="ko-KR"/>
        </w:rPr>
        <w:t>Schiller</w:t>
      </w:r>
      <w:r w:rsidR="00041D54">
        <w:rPr>
          <w:rFonts w:eastAsia="Times New Roman"/>
          <w:szCs w:val="24"/>
          <w:lang w:eastAsia="ko-KR"/>
        </w:rPr>
        <w:t xml:space="preserve">. </w:t>
      </w:r>
    </w:p>
    <w:p w14:paraId="21B06887" w14:textId="77777777" w:rsidR="00447B34" w:rsidRPr="00447B34" w:rsidRDefault="00447B34" w:rsidP="009C4A0D">
      <w:pPr>
        <w:jc w:val="center"/>
        <w:rPr>
          <w:b/>
        </w:rPr>
      </w:pPr>
      <w:r w:rsidRPr="00447B34">
        <w:rPr>
          <w:b/>
        </w:rPr>
        <w:t>IV. CONCLUSION</w:t>
      </w:r>
    </w:p>
    <w:p w14:paraId="07A6D5EB" w14:textId="77777777" w:rsidR="00EC71AF" w:rsidRDefault="00447B34" w:rsidP="009C4A0D">
      <w:r>
        <w:tab/>
      </w:r>
      <w:r w:rsidR="009A5EDF">
        <w:t xml:space="preserve">For all of the above reasons, the </w:t>
      </w:r>
      <w:r w:rsidR="002B2D59">
        <w:t>C</w:t>
      </w:r>
      <w:r w:rsidR="004F5220">
        <w:t>ourt should grant Defendants’ M</w:t>
      </w:r>
      <w:r w:rsidR="009A5EDF">
        <w:t xml:space="preserve">otion for </w:t>
      </w:r>
      <w:r w:rsidR="004F5220">
        <w:t xml:space="preserve">Judgment on the Pleadings </w:t>
      </w:r>
      <w:r w:rsidR="009A5EDF">
        <w:t>for failure to state a valid claim</w:t>
      </w:r>
      <w:r w:rsidR="00735B41">
        <w:t xml:space="preserve"> under Fed. R. Civ. P. 12(c)</w:t>
      </w:r>
      <w:r w:rsidR="009A5EDF">
        <w:t xml:space="preserve">. </w:t>
      </w:r>
      <w:r>
        <w:t xml:space="preserve">Defendants have demonstrated that the Copyright Act unambiguously require a written agreement preceding creation of the work in order to be a work for hire. </w:t>
      </w:r>
      <w:r w:rsidR="00735B41">
        <w:t>There was no express written agreement signed by both parties</w:t>
      </w:r>
      <w:r w:rsidR="004F5220">
        <w:t xml:space="preserve"> prior to the creation of the screenplay</w:t>
      </w:r>
      <w:r w:rsidR="00735B41">
        <w:t xml:space="preserve">, thus, there was no such agreement as to work for hire. </w:t>
      </w:r>
    </w:p>
    <w:p w14:paraId="266947CD" w14:textId="77777777" w:rsidR="002875D8" w:rsidRDefault="002875D8" w:rsidP="009C4A0D"/>
    <w:p w14:paraId="2FF45C7D" w14:textId="77777777" w:rsidR="0034063B" w:rsidRDefault="0034063B" w:rsidP="009C4A0D"/>
    <w:p w14:paraId="4C8CF928" w14:textId="77777777" w:rsidR="00EC71AF" w:rsidRDefault="00667077" w:rsidP="009C4A0D">
      <w:r>
        <w:t>Dated</w:t>
      </w:r>
      <w:r w:rsidR="00EC71AF">
        <w:t>:  February 29, 2012</w:t>
      </w:r>
      <w:r w:rsidR="00EC71AF">
        <w:tab/>
      </w:r>
      <w:r w:rsidR="00EC71AF">
        <w:tab/>
      </w:r>
      <w:r>
        <w:tab/>
      </w:r>
      <w:r w:rsidR="00EC71AF">
        <w:t>Respectfully submitted,</w:t>
      </w:r>
    </w:p>
    <w:p w14:paraId="573F53E3" w14:textId="77777777" w:rsidR="00EC71AF" w:rsidRDefault="00EC71AF" w:rsidP="009C4A0D"/>
    <w:p w14:paraId="33821BEF" w14:textId="77777777" w:rsidR="00EC71AF" w:rsidRDefault="00EC71AF" w:rsidP="009C4A0D">
      <w:pPr>
        <w:spacing w:line="240" w:lineRule="auto"/>
      </w:pPr>
      <w:r>
        <w:tab/>
      </w:r>
      <w:r>
        <w:tab/>
      </w:r>
      <w:r>
        <w:tab/>
      </w:r>
      <w:r>
        <w:tab/>
      </w:r>
      <w:r>
        <w:tab/>
      </w:r>
      <w:r>
        <w:tab/>
        <w:t>____________________________________</w:t>
      </w:r>
    </w:p>
    <w:p w14:paraId="21766BF4" w14:textId="77777777" w:rsidR="00EC71AF" w:rsidRDefault="00EC71AF" w:rsidP="00230F8C">
      <w:pPr>
        <w:spacing w:line="240" w:lineRule="auto"/>
      </w:pPr>
      <w:r>
        <w:tab/>
      </w:r>
      <w:r>
        <w:tab/>
      </w:r>
      <w:r>
        <w:tab/>
      </w:r>
      <w:r>
        <w:tab/>
      </w:r>
      <w:r>
        <w:tab/>
      </w:r>
      <w:r>
        <w:tab/>
      </w:r>
      <w:r w:rsidR="00230F8C">
        <w:rPr>
          <w:rFonts w:eastAsia="Times New Roman"/>
          <w:szCs w:val="24"/>
        </w:rPr>
        <w:t>&lt;redacted&gt;&lt;/redacted&gt;</w:t>
      </w:r>
      <w:bookmarkStart w:id="0" w:name="_GoBack"/>
      <w:bookmarkEnd w:id="0"/>
      <w:r>
        <w:tab/>
      </w:r>
      <w:r>
        <w:tab/>
      </w:r>
      <w:r>
        <w:tab/>
      </w:r>
      <w:r>
        <w:tab/>
      </w:r>
      <w:r>
        <w:tab/>
      </w:r>
    </w:p>
    <w:p w14:paraId="57183818" w14:textId="77777777" w:rsidR="00EC71AF" w:rsidRDefault="00EC71AF" w:rsidP="009C4A0D">
      <w:pPr>
        <w:spacing w:line="240" w:lineRule="auto"/>
      </w:pPr>
    </w:p>
    <w:p w14:paraId="572CE35C" w14:textId="77777777" w:rsidR="00EC71AF" w:rsidRDefault="00EC71AF" w:rsidP="009C4A0D">
      <w:pPr>
        <w:spacing w:line="240" w:lineRule="auto"/>
      </w:pPr>
      <w:r>
        <w:tab/>
      </w:r>
      <w:r>
        <w:tab/>
      </w:r>
      <w:r>
        <w:tab/>
      </w:r>
      <w:r>
        <w:tab/>
      </w:r>
      <w:r>
        <w:tab/>
      </w:r>
      <w:r>
        <w:tab/>
        <w:t>ATTORNEY FOR DEFENDANTS</w:t>
      </w:r>
    </w:p>
    <w:p w14:paraId="701B16D0" w14:textId="77777777" w:rsidR="00EC71AF" w:rsidRDefault="00667077" w:rsidP="009C4A0D">
      <w:r>
        <w:tab/>
      </w:r>
      <w:r>
        <w:tab/>
      </w:r>
      <w:r>
        <w:tab/>
      </w:r>
      <w:r>
        <w:tab/>
      </w:r>
      <w:r>
        <w:tab/>
      </w:r>
      <w:r>
        <w:tab/>
        <w:t>ELIZABETH LIME AND TINYTV INC.</w:t>
      </w:r>
    </w:p>
    <w:sectPr w:rsidR="00EC71AF" w:rsidSect="0060452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C3313" w14:textId="77777777" w:rsidR="002877E9" w:rsidRDefault="002877E9" w:rsidP="00200327">
      <w:pPr>
        <w:spacing w:line="240" w:lineRule="auto"/>
      </w:pPr>
      <w:r>
        <w:separator/>
      </w:r>
    </w:p>
  </w:endnote>
  <w:endnote w:type="continuationSeparator" w:id="0">
    <w:p w14:paraId="4F8B8FD8" w14:textId="77777777" w:rsidR="002877E9" w:rsidRDefault="002877E9" w:rsidP="00200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맑은 고딕">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E798B" w14:textId="77777777" w:rsidR="002877E9" w:rsidRDefault="002877E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862503"/>
      <w:docPartObj>
        <w:docPartGallery w:val="Page Numbers (Bottom of Page)"/>
        <w:docPartUnique/>
      </w:docPartObj>
    </w:sdtPr>
    <w:sdtEndPr/>
    <w:sdtContent>
      <w:sdt>
        <w:sdtPr>
          <w:id w:val="-1669238322"/>
          <w:docPartObj>
            <w:docPartGallery w:val="Page Numbers (Top of Page)"/>
            <w:docPartUnique/>
          </w:docPartObj>
        </w:sdtPr>
        <w:sdtEndPr/>
        <w:sdtContent>
          <w:p w14:paraId="318ADE5A" w14:textId="77777777" w:rsidR="002877E9" w:rsidRDefault="002877E9">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230F8C">
              <w:rPr>
                <w:b/>
                <w:bCs/>
                <w:noProof/>
              </w:rPr>
              <w:t>14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230F8C">
              <w:rPr>
                <w:b/>
                <w:bCs/>
                <w:noProof/>
              </w:rPr>
              <w:t>14</w:t>
            </w:r>
            <w:r>
              <w:rPr>
                <w:b/>
                <w:bCs/>
                <w:szCs w:val="24"/>
              </w:rPr>
              <w:fldChar w:fldCharType="end"/>
            </w:r>
          </w:p>
        </w:sdtContent>
      </w:sdt>
    </w:sdtContent>
  </w:sdt>
  <w:p w14:paraId="3780F80A" w14:textId="77777777" w:rsidR="002877E9" w:rsidRDefault="002877E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B1F67" w14:textId="77777777" w:rsidR="002877E9" w:rsidRDefault="002877E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713F6" w14:textId="77777777" w:rsidR="002877E9" w:rsidRDefault="002877E9" w:rsidP="00200327">
      <w:pPr>
        <w:spacing w:line="240" w:lineRule="auto"/>
      </w:pPr>
      <w:r>
        <w:separator/>
      </w:r>
    </w:p>
  </w:footnote>
  <w:footnote w:type="continuationSeparator" w:id="0">
    <w:p w14:paraId="64BBAD94" w14:textId="77777777" w:rsidR="002877E9" w:rsidRDefault="002877E9" w:rsidP="00200327">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0B755" w14:textId="77777777" w:rsidR="002877E9" w:rsidRDefault="002877E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9A549" w14:textId="77777777" w:rsidR="002877E9" w:rsidRDefault="002877E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22800" w14:textId="77777777" w:rsidR="002877E9" w:rsidRDefault="002877E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5300"/>
    <w:multiLevelType w:val="hybridMultilevel"/>
    <w:tmpl w:val="851053CA"/>
    <w:lvl w:ilvl="0" w:tplc="C8EED2B6">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423069"/>
    <w:multiLevelType w:val="hybridMultilevel"/>
    <w:tmpl w:val="B0B828FA"/>
    <w:lvl w:ilvl="0" w:tplc="9CF4B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F35751"/>
    <w:multiLevelType w:val="hybridMultilevel"/>
    <w:tmpl w:val="7096CEE8"/>
    <w:lvl w:ilvl="0" w:tplc="98EC300A">
      <w:start w:val="3"/>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767BCE"/>
    <w:multiLevelType w:val="hybridMultilevel"/>
    <w:tmpl w:val="215C5330"/>
    <w:lvl w:ilvl="0" w:tplc="911EA0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E14864"/>
    <w:multiLevelType w:val="hybridMultilevel"/>
    <w:tmpl w:val="48FE8B7E"/>
    <w:lvl w:ilvl="0" w:tplc="258242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B595D"/>
    <w:multiLevelType w:val="hybridMultilevel"/>
    <w:tmpl w:val="137CBF18"/>
    <w:lvl w:ilvl="0" w:tplc="A37AEC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B9024E"/>
    <w:multiLevelType w:val="hybridMultilevel"/>
    <w:tmpl w:val="863422E8"/>
    <w:lvl w:ilvl="0" w:tplc="B712B02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BFB53B6"/>
    <w:multiLevelType w:val="hybridMultilevel"/>
    <w:tmpl w:val="560A4F62"/>
    <w:lvl w:ilvl="0" w:tplc="8B720D6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4240C9"/>
    <w:multiLevelType w:val="hybridMultilevel"/>
    <w:tmpl w:val="4B6CBF28"/>
    <w:lvl w:ilvl="0" w:tplc="1ED8BF08">
      <w:start w:val="2"/>
      <w:numFmt w:val="bullet"/>
      <w:lvlText w:val=""/>
      <w:lvlJc w:val="left"/>
      <w:pPr>
        <w:ind w:left="1800" w:hanging="360"/>
      </w:pPr>
      <w:rPr>
        <w:rFonts w:ascii="Symbol" w:eastAsiaTheme="minorEastAsia"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C4771D3"/>
    <w:multiLevelType w:val="hybridMultilevel"/>
    <w:tmpl w:val="A35C7CF6"/>
    <w:lvl w:ilvl="0" w:tplc="63C625F0">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ED16018"/>
    <w:multiLevelType w:val="hybridMultilevel"/>
    <w:tmpl w:val="915C0AE4"/>
    <w:lvl w:ilvl="0" w:tplc="5AD2A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DA9624E"/>
    <w:multiLevelType w:val="hybridMultilevel"/>
    <w:tmpl w:val="4B6A729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2D20AC"/>
    <w:multiLevelType w:val="hybridMultilevel"/>
    <w:tmpl w:val="99549D76"/>
    <w:lvl w:ilvl="0" w:tplc="C7AEDA4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ECE6667"/>
    <w:multiLevelType w:val="hybridMultilevel"/>
    <w:tmpl w:val="CE260574"/>
    <w:lvl w:ilvl="0" w:tplc="E5E88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2"/>
  </w:num>
  <w:num w:numId="3">
    <w:abstractNumId w:val="4"/>
  </w:num>
  <w:num w:numId="4">
    <w:abstractNumId w:val="6"/>
  </w:num>
  <w:num w:numId="5">
    <w:abstractNumId w:val="0"/>
  </w:num>
  <w:num w:numId="6">
    <w:abstractNumId w:val="13"/>
  </w:num>
  <w:num w:numId="7">
    <w:abstractNumId w:val="9"/>
  </w:num>
  <w:num w:numId="8">
    <w:abstractNumId w:val="10"/>
  </w:num>
  <w:num w:numId="9">
    <w:abstractNumId w:val="1"/>
  </w:num>
  <w:num w:numId="10">
    <w:abstractNumId w:val="7"/>
  </w:num>
  <w:num w:numId="11">
    <w:abstractNumId w:val="11"/>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5D6C89"/>
    <w:rsid w:val="00000044"/>
    <w:rsid w:val="00002FD0"/>
    <w:rsid w:val="00011F82"/>
    <w:rsid w:val="000130AA"/>
    <w:rsid w:val="000134F6"/>
    <w:rsid w:val="0001371D"/>
    <w:rsid w:val="00020C3D"/>
    <w:rsid w:val="00024BC1"/>
    <w:rsid w:val="00034C67"/>
    <w:rsid w:val="00035FCD"/>
    <w:rsid w:val="00040107"/>
    <w:rsid w:val="00041D54"/>
    <w:rsid w:val="000513B2"/>
    <w:rsid w:val="000719FE"/>
    <w:rsid w:val="00072C30"/>
    <w:rsid w:val="00083416"/>
    <w:rsid w:val="00091A34"/>
    <w:rsid w:val="000979C4"/>
    <w:rsid w:val="00097B1C"/>
    <w:rsid w:val="000A18B1"/>
    <w:rsid w:val="000E4005"/>
    <w:rsid w:val="000F6353"/>
    <w:rsid w:val="00100351"/>
    <w:rsid w:val="0010237F"/>
    <w:rsid w:val="00143101"/>
    <w:rsid w:val="0014438C"/>
    <w:rsid w:val="00144543"/>
    <w:rsid w:val="001470FD"/>
    <w:rsid w:val="0016205C"/>
    <w:rsid w:val="0017027A"/>
    <w:rsid w:val="00170417"/>
    <w:rsid w:val="00181382"/>
    <w:rsid w:val="00182036"/>
    <w:rsid w:val="00186342"/>
    <w:rsid w:val="001A1F02"/>
    <w:rsid w:val="001B360E"/>
    <w:rsid w:val="001B56C6"/>
    <w:rsid w:val="001B683B"/>
    <w:rsid w:val="001C02F3"/>
    <w:rsid w:val="001C3651"/>
    <w:rsid w:val="001C5F4D"/>
    <w:rsid w:val="001C6CB8"/>
    <w:rsid w:val="001D0AAD"/>
    <w:rsid w:val="001D0BDA"/>
    <w:rsid w:val="001D5250"/>
    <w:rsid w:val="001D5B66"/>
    <w:rsid w:val="001E4B5E"/>
    <w:rsid w:val="00200327"/>
    <w:rsid w:val="0020175B"/>
    <w:rsid w:val="0022007F"/>
    <w:rsid w:val="0022280A"/>
    <w:rsid w:val="00225F5F"/>
    <w:rsid w:val="00230F8C"/>
    <w:rsid w:val="00234205"/>
    <w:rsid w:val="00246507"/>
    <w:rsid w:val="0026147C"/>
    <w:rsid w:val="002817C4"/>
    <w:rsid w:val="002841FE"/>
    <w:rsid w:val="002875D8"/>
    <w:rsid w:val="002877E9"/>
    <w:rsid w:val="00287821"/>
    <w:rsid w:val="00291F33"/>
    <w:rsid w:val="00294217"/>
    <w:rsid w:val="0029690B"/>
    <w:rsid w:val="002B091D"/>
    <w:rsid w:val="002B0C6D"/>
    <w:rsid w:val="002B2D59"/>
    <w:rsid w:val="002B4D6C"/>
    <w:rsid w:val="002C0140"/>
    <w:rsid w:val="002E7D28"/>
    <w:rsid w:val="002F2875"/>
    <w:rsid w:val="003079F6"/>
    <w:rsid w:val="0031598F"/>
    <w:rsid w:val="00324E18"/>
    <w:rsid w:val="00325DA5"/>
    <w:rsid w:val="00325F93"/>
    <w:rsid w:val="0033038B"/>
    <w:rsid w:val="00337C0A"/>
    <w:rsid w:val="003404A4"/>
    <w:rsid w:val="0034063B"/>
    <w:rsid w:val="0034219B"/>
    <w:rsid w:val="00343B0B"/>
    <w:rsid w:val="00353D28"/>
    <w:rsid w:val="00353DCA"/>
    <w:rsid w:val="00355828"/>
    <w:rsid w:val="00357ACB"/>
    <w:rsid w:val="0036521D"/>
    <w:rsid w:val="003707B1"/>
    <w:rsid w:val="00375412"/>
    <w:rsid w:val="00377202"/>
    <w:rsid w:val="00382932"/>
    <w:rsid w:val="00383EE0"/>
    <w:rsid w:val="00390D9C"/>
    <w:rsid w:val="003918B9"/>
    <w:rsid w:val="003A5EC2"/>
    <w:rsid w:val="003B4781"/>
    <w:rsid w:val="003B4F5A"/>
    <w:rsid w:val="003B6E82"/>
    <w:rsid w:val="003C335E"/>
    <w:rsid w:val="003C5692"/>
    <w:rsid w:val="003D784C"/>
    <w:rsid w:val="003E32D9"/>
    <w:rsid w:val="003E5A1D"/>
    <w:rsid w:val="003F2B4E"/>
    <w:rsid w:val="00402A5A"/>
    <w:rsid w:val="0040340D"/>
    <w:rsid w:val="004069BD"/>
    <w:rsid w:val="00413ED1"/>
    <w:rsid w:val="00415FDB"/>
    <w:rsid w:val="00417384"/>
    <w:rsid w:val="00423CD9"/>
    <w:rsid w:val="00435454"/>
    <w:rsid w:val="00447B34"/>
    <w:rsid w:val="0045140B"/>
    <w:rsid w:val="00462BC2"/>
    <w:rsid w:val="00462EB2"/>
    <w:rsid w:val="00481D8B"/>
    <w:rsid w:val="00484063"/>
    <w:rsid w:val="00486FC0"/>
    <w:rsid w:val="00490B96"/>
    <w:rsid w:val="00492819"/>
    <w:rsid w:val="00495AC3"/>
    <w:rsid w:val="00497611"/>
    <w:rsid w:val="004A37A9"/>
    <w:rsid w:val="004B14E5"/>
    <w:rsid w:val="004B69A9"/>
    <w:rsid w:val="004D0B37"/>
    <w:rsid w:val="004D6E63"/>
    <w:rsid w:val="004E5B70"/>
    <w:rsid w:val="004F5220"/>
    <w:rsid w:val="004F7B17"/>
    <w:rsid w:val="005116EA"/>
    <w:rsid w:val="00511E5E"/>
    <w:rsid w:val="00512B30"/>
    <w:rsid w:val="005157D8"/>
    <w:rsid w:val="005247A8"/>
    <w:rsid w:val="0054357C"/>
    <w:rsid w:val="00552AD5"/>
    <w:rsid w:val="00556B57"/>
    <w:rsid w:val="00565D58"/>
    <w:rsid w:val="0056663D"/>
    <w:rsid w:val="00570533"/>
    <w:rsid w:val="005705C2"/>
    <w:rsid w:val="00572DD4"/>
    <w:rsid w:val="00573B14"/>
    <w:rsid w:val="005743EA"/>
    <w:rsid w:val="00580E08"/>
    <w:rsid w:val="00591812"/>
    <w:rsid w:val="00591C10"/>
    <w:rsid w:val="00594EAA"/>
    <w:rsid w:val="005A6D0A"/>
    <w:rsid w:val="005B5AAC"/>
    <w:rsid w:val="005B7190"/>
    <w:rsid w:val="005C3112"/>
    <w:rsid w:val="005D26F9"/>
    <w:rsid w:val="005D5507"/>
    <w:rsid w:val="005D6C89"/>
    <w:rsid w:val="005E1075"/>
    <w:rsid w:val="005F49CD"/>
    <w:rsid w:val="00600113"/>
    <w:rsid w:val="00604524"/>
    <w:rsid w:val="00605CF1"/>
    <w:rsid w:val="00617B52"/>
    <w:rsid w:val="00626062"/>
    <w:rsid w:val="00657475"/>
    <w:rsid w:val="00661C55"/>
    <w:rsid w:val="00663C90"/>
    <w:rsid w:val="00665572"/>
    <w:rsid w:val="00667077"/>
    <w:rsid w:val="006712D7"/>
    <w:rsid w:val="00683B56"/>
    <w:rsid w:val="00684A29"/>
    <w:rsid w:val="00695592"/>
    <w:rsid w:val="00696732"/>
    <w:rsid w:val="00697F73"/>
    <w:rsid w:val="006A620F"/>
    <w:rsid w:val="006B0BB7"/>
    <w:rsid w:val="006C2126"/>
    <w:rsid w:val="006C612B"/>
    <w:rsid w:val="006C6E83"/>
    <w:rsid w:val="006D351D"/>
    <w:rsid w:val="006D7775"/>
    <w:rsid w:val="006E0AB7"/>
    <w:rsid w:val="006E0BAD"/>
    <w:rsid w:val="006E3148"/>
    <w:rsid w:val="006F61F3"/>
    <w:rsid w:val="007046C5"/>
    <w:rsid w:val="00706158"/>
    <w:rsid w:val="00712D93"/>
    <w:rsid w:val="007145BF"/>
    <w:rsid w:val="00725A43"/>
    <w:rsid w:val="00730F07"/>
    <w:rsid w:val="00732E24"/>
    <w:rsid w:val="0073408A"/>
    <w:rsid w:val="00735B41"/>
    <w:rsid w:val="007379A0"/>
    <w:rsid w:val="007458DD"/>
    <w:rsid w:val="0075449A"/>
    <w:rsid w:val="0075656E"/>
    <w:rsid w:val="00765963"/>
    <w:rsid w:val="0076691A"/>
    <w:rsid w:val="00766CA7"/>
    <w:rsid w:val="0076723D"/>
    <w:rsid w:val="0077103A"/>
    <w:rsid w:val="00776B4B"/>
    <w:rsid w:val="007805DC"/>
    <w:rsid w:val="00783775"/>
    <w:rsid w:val="007A3602"/>
    <w:rsid w:val="007A3779"/>
    <w:rsid w:val="007A3D69"/>
    <w:rsid w:val="007A50BD"/>
    <w:rsid w:val="007A6BA6"/>
    <w:rsid w:val="007B3548"/>
    <w:rsid w:val="007B5AFD"/>
    <w:rsid w:val="007C2735"/>
    <w:rsid w:val="007C37D5"/>
    <w:rsid w:val="007D077B"/>
    <w:rsid w:val="007D35EE"/>
    <w:rsid w:val="007E1935"/>
    <w:rsid w:val="007E35D3"/>
    <w:rsid w:val="007F0371"/>
    <w:rsid w:val="007F3571"/>
    <w:rsid w:val="008067D0"/>
    <w:rsid w:val="008069D7"/>
    <w:rsid w:val="00813535"/>
    <w:rsid w:val="00816BFD"/>
    <w:rsid w:val="00830F28"/>
    <w:rsid w:val="0083253A"/>
    <w:rsid w:val="0083654A"/>
    <w:rsid w:val="0084326B"/>
    <w:rsid w:val="0084677C"/>
    <w:rsid w:val="00863478"/>
    <w:rsid w:val="008657C9"/>
    <w:rsid w:val="00870765"/>
    <w:rsid w:val="008A0993"/>
    <w:rsid w:val="008A6D8A"/>
    <w:rsid w:val="008B2E36"/>
    <w:rsid w:val="008C1470"/>
    <w:rsid w:val="008C29B4"/>
    <w:rsid w:val="008E1BAF"/>
    <w:rsid w:val="008E2D17"/>
    <w:rsid w:val="008F02A1"/>
    <w:rsid w:val="008F3714"/>
    <w:rsid w:val="008F4085"/>
    <w:rsid w:val="009024C7"/>
    <w:rsid w:val="00915863"/>
    <w:rsid w:val="00926079"/>
    <w:rsid w:val="009275F6"/>
    <w:rsid w:val="00930547"/>
    <w:rsid w:val="00932052"/>
    <w:rsid w:val="00933B44"/>
    <w:rsid w:val="00941C6E"/>
    <w:rsid w:val="00942E77"/>
    <w:rsid w:val="00951CB5"/>
    <w:rsid w:val="009563DB"/>
    <w:rsid w:val="00992384"/>
    <w:rsid w:val="00995B30"/>
    <w:rsid w:val="009A5EDF"/>
    <w:rsid w:val="009A6073"/>
    <w:rsid w:val="009B15B2"/>
    <w:rsid w:val="009B252A"/>
    <w:rsid w:val="009B3758"/>
    <w:rsid w:val="009C4A0D"/>
    <w:rsid w:val="009D1F29"/>
    <w:rsid w:val="009D3809"/>
    <w:rsid w:val="009E08D2"/>
    <w:rsid w:val="009F2CE3"/>
    <w:rsid w:val="009F31DE"/>
    <w:rsid w:val="009F3CE6"/>
    <w:rsid w:val="009F4090"/>
    <w:rsid w:val="00A009BB"/>
    <w:rsid w:val="00A014B6"/>
    <w:rsid w:val="00A036A1"/>
    <w:rsid w:val="00A03BD8"/>
    <w:rsid w:val="00A04E1F"/>
    <w:rsid w:val="00A057A9"/>
    <w:rsid w:val="00A05A1D"/>
    <w:rsid w:val="00A108E1"/>
    <w:rsid w:val="00A11E17"/>
    <w:rsid w:val="00A1549D"/>
    <w:rsid w:val="00A22B44"/>
    <w:rsid w:val="00A44108"/>
    <w:rsid w:val="00A501D8"/>
    <w:rsid w:val="00A51E2C"/>
    <w:rsid w:val="00A5458C"/>
    <w:rsid w:val="00A555DC"/>
    <w:rsid w:val="00A625F9"/>
    <w:rsid w:val="00A91E35"/>
    <w:rsid w:val="00A91F13"/>
    <w:rsid w:val="00AA09CD"/>
    <w:rsid w:val="00AA299B"/>
    <w:rsid w:val="00AB1955"/>
    <w:rsid w:val="00AB4CB9"/>
    <w:rsid w:val="00AB573F"/>
    <w:rsid w:val="00AB61F4"/>
    <w:rsid w:val="00AC1C5F"/>
    <w:rsid w:val="00AC54AB"/>
    <w:rsid w:val="00AD1D4D"/>
    <w:rsid w:val="00AD486B"/>
    <w:rsid w:val="00AD4F8A"/>
    <w:rsid w:val="00AD736D"/>
    <w:rsid w:val="00AD785A"/>
    <w:rsid w:val="00AE0F8D"/>
    <w:rsid w:val="00AE1234"/>
    <w:rsid w:val="00AE7541"/>
    <w:rsid w:val="00AE79F3"/>
    <w:rsid w:val="00AF3E17"/>
    <w:rsid w:val="00AF7039"/>
    <w:rsid w:val="00B01801"/>
    <w:rsid w:val="00B06C83"/>
    <w:rsid w:val="00B07893"/>
    <w:rsid w:val="00B25DB3"/>
    <w:rsid w:val="00B328AF"/>
    <w:rsid w:val="00B4008F"/>
    <w:rsid w:val="00B550CD"/>
    <w:rsid w:val="00B77DB7"/>
    <w:rsid w:val="00B87119"/>
    <w:rsid w:val="00B91746"/>
    <w:rsid w:val="00BA394C"/>
    <w:rsid w:val="00BA6670"/>
    <w:rsid w:val="00BB20DA"/>
    <w:rsid w:val="00BB5F3A"/>
    <w:rsid w:val="00BC3C1A"/>
    <w:rsid w:val="00BD14C5"/>
    <w:rsid w:val="00BE640A"/>
    <w:rsid w:val="00BF161A"/>
    <w:rsid w:val="00BF655D"/>
    <w:rsid w:val="00C0086E"/>
    <w:rsid w:val="00C037E5"/>
    <w:rsid w:val="00C204E9"/>
    <w:rsid w:val="00C229B9"/>
    <w:rsid w:val="00C44E86"/>
    <w:rsid w:val="00C53BD0"/>
    <w:rsid w:val="00C61EC1"/>
    <w:rsid w:val="00C67FC1"/>
    <w:rsid w:val="00C77E63"/>
    <w:rsid w:val="00C82CBE"/>
    <w:rsid w:val="00C8724A"/>
    <w:rsid w:val="00C91BB3"/>
    <w:rsid w:val="00C95B3D"/>
    <w:rsid w:val="00C96A0B"/>
    <w:rsid w:val="00C97EB0"/>
    <w:rsid w:val="00CA2B7E"/>
    <w:rsid w:val="00CA63AD"/>
    <w:rsid w:val="00CB7C9E"/>
    <w:rsid w:val="00CC5248"/>
    <w:rsid w:val="00CC571D"/>
    <w:rsid w:val="00CC64A1"/>
    <w:rsid w:val="00CD1F2C"/>
    <w:rsid w:val="00D05B6B"/>
    <w:rsid w:val="00D0785A"/>
    <w:rsid w:val="00D101C0"/>
    <w:rsid w:val="00D226AE"/>
    <w:rsid w:val="00D27470"/>
    <w:rsid w:val="00D4345D"/>
    <w:rsid w:val="00D518CA"/>
    <w:rsid w:val="00D518EF"/>
    <w:rsid w:val="00D52C81"/>
    <w:rsid w:val="00D57F4D"/>
    <w:rsid w:val="00D609E7"/>
    <w:rsid w:val="00D6627F"/>
    <w:rsid w:val="00D77AF9"/>
    <w:rsid w:val="00D867D0"/>
    <w:rsid w:val="00DA0FBE"/>
    <w:rsid w:val="00DA6042"/>
    <w:rsid w:val="00DA7630"/>
    <w:rsid w:val="00DC4D8C"/>
    <w:rsid w:val="00DD29F0"/>
    <w:rsid w:val="00DD57EE"/>
    <w:rsid w:val="00DD60A9"/>
    <w:rsid w:val="00DE1CE0"/>
    <w:rsid w:val="00DE6166"/>
    <w:rsid w:val="00DF2B70"/>
    <w:rsid w:val="00DF3441"/>
    <w:rsid w:val="00DF7662"/>
    <w:rsid w:val="00E02332"/>
    <w:rsid w:val="00E02FEB"/>
    <w:rsid w:val="00E03F07"/>
    <w:rsid w:val="00E12A48"/>
    <w:rsid w:val="00E35A7E"/>
    <w:rsid w:val="00E3738B"/>
    <w:rsid w:val="00E43CB1"/>
    <w:rsid w:val="00E4426B"/>
    <w:rsid w:val="00E55795"/>
    <w:rsid w:val="00E665D9"/>
    <w:rsid w:val="00E701A6"/>
    <w:rsid w:val="00E71DA4"/>
    <w:rsid w:val="00E80704"/>
    <w:rsid w:val="00E87906"/>
    <w:rsid w:val="00E96065"/>
    <w:rsid w:val="00EA02AB"/>
    <w:rsid w:val="00EB090C"/>
    <w:rsid w:val="00EB7615"/>
    <w:rsid w:val="00EC117E"/>
    <w:rsid w:val="00EC570A"/>
    <w:rsid w:val="00EC5F3F"/>
    <w:rsid w:val="00EC71AF"/>
    <w:rsid w:val="00ED0BF4"/>
    <w:rsid w:val="00ED26B9"/>
    <w:rsid w:val="00ED3744"/>
    <w:rsid w:val="00ED6041"/>
    <w:rsid w:val="00EE6FCB"/>
    <w:rsid w:val="00EF7654"/>
    <w:rsid w:val="00F13CA0"/>
    <w:rsid w:val="00F20A0B"/>
    <w:rsid w:val="00F21154"/>
    <w:rsid w:val="00F242AF"/>
    <w:rsid w:val="00F43175"/>
    <w:rsid w:val="00F43B17"/>
    <w:rsid w:val="00F65D33"/>
    <w:rsid w:val="00F757D6"/>
    <w:rsid w:val="00F768A0"/>
    <w:rsid w:val="00F80FE2"/>
    <w:rsid w:val="00F83ECC"/>
    <w:rsid w:val="00F9093C"/>
    <w:rsid w:val="00F954EC"/>
    <w:rsid w:val="00F97E90"/>
    <w:rsid w:val="00FB4755"/>
    <w:rsid w:val="00FB64B9"/>
    <w:rsid w:val="00FD07D9"/>
    <w:rsid w:val="00FD0BA8"/>
    <w:rsid w:val="00FE419B"/>
    <w:rsid w:val="00FF57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ADE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C89"/>
    <w:pPr>
      <w:ind w:left="720"/>
      <w:contextualSpacing/>
    </w:pPr>
  </w:style>
  <w:style w:type="character" w:styleId="Hyperlink">
    <w:name w:val="Hyperlink"/>
    <w:basedOn w:val="DefaultParagraphFont"/>
    <w:uiPriority w:val="99"/>
    <w:unhideWhenUsed/>
    <w:rsid w:val="00ED26B9"/>
    <w:rPr>
      <w:color w:val="0000FF" w:themeColor="hyperlink"/>
      <w:u w:val="single"/>
    </w:rPr>
  </w:style>
  <w:style w:type="paragraph" w:styleId="Header">
    <w:name w:val="header"/>
    <w:basedOn w:val="Normal"/>
    <w:link w:val="HeaderChar"/>
    <w:uiPriority w:val="99"/>
    <w:unhideWhenUsed/>
    <w:rsid w:val="00200327"/>
    <w:pPr>
      <w:tabs>
        <w:tab w:val="center" w:pos="4680"/>
        <w:tab w:val="right" w:pos="9360"/>
      </w:tabs>
      <w:spacing w:line="240" w:lineRule="auto"/>
    </w:pPr>
  </w:style>
  <w:style w:type="character" w:customStyle="1" w:styleId="HeaderChar">
    <w:name w:val="Header Char"/>
    <w:basedOn w:val="DefaultParagraphFont"/>
    <w:link w:val="Header"/>
    <w:uiPriority w:val="99"/>
    <w:rsid w:val="00200327"/>
  </w:style>
  <w:style w:type="paragraph" w:styleId="Footer">
    <w:name w:val="footer"/>
    <w:basedOn w:val="Normal"/>
    <w:link w:val="FooterChar"/>
    <w:uiPriority w:val="99"/>
    <w:unhideWhenUsed/>
    <w:rsid w:val="00200327"/>
    <w:pPr>
      <w:tabs>
        <w:tab w:val="center" w:pos="4680"/>
        <w:tab w:val="right" w:pos="9360"/>
      </w:tabs>
      <w:spacing w:line="240" w:lineRule="auto"/>
    </w:pPr>
  </w:style>
  <w:style w:type="character" w:customStyle="1" w:styleId="FooterChar">
    <w:name w:val="Footer Char"/>
    <w:basedOn w:val="DefaultParagraphFont"/>
    <w:link w:val="Footer"/>
    <w:uiPriority w:val="99"/>
    <w:rsid w:val="00200327"/>
  </w:style>
  <w:style w:type="paragraph" w:styleId="BalloonText">
    <w:name w:val="Balloon Text"/>
    <w:basedOn w:val="Normal"/>
    <w:link w:val="BalloonTextChar"/>
    <w:uiPriority w:val="99"/>
    <w:semiHidden/>
    <w:unhideWhenUsed/>
    <w:rsid w:val="002003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27"/>
    <w:rPr>
      <w:rFonts w:ascii="Tahoma" w:hAnsi="Tahoma" w:cs="Tahoma"/>
      <w:sz w:val="16"/>
      <w:szCs w:val="16"/>
    </w:rPr>
  </w:style>
  <w:style w:type="character" w:styleId="Emphasis">
    <w:name w:val="Emphasis"/>
    <w:basedOn w:val="DefaultParagraphFont"/>
    <w:uiPriority w:val="20"/>
    <w:qFormat/>
    <w:rsid w:val="00AC54AB"/>
    <w:rPr>
      <w:i/>
      <w:iCs/>
    </w:rPr>
  </w:style>
  <w:style w:type="character" w:customStyle="1" w:styleId="costarpage">
    <w:name w:val="co_starpage"/>
    <w:basedOn w:val="DefaultParagraphFont"/>
    <w:rsid w:val="00AC54AB"/>
  </w:style>
  <w:style w:type="character" w:customStyle="1" w:styleId="cohl">
    <w:name w:val="co_hl"/>
    <w:basedOn w:val="DefaultParagraphFont"/>
    <w:rsid w:val="00AE79F3"/>
  </w:style>
  <w:style w:type="character" w:customStyle="1" w:styleId="cosearchwithinterm">
    <w:name w:val="co_searchwithinterm"/>
    <w:basedOn w:val="DefaultParagraphFont"/>
    <w:rsid w:val="0034219B"/>
  </w:style>
  <w:style w:type="character" w:customStyle="1" w:styleId="counderline">
    <w:name w:val="co_underline"/>
    <w:basedOn w:val="DefaultParagraphFont"/>
    <w:rsid w:val="005D26F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C89"/>
    <w:pPr>
      <w:ind w:left="720"/>
      <w:contextualSpacing/>
    </w:pPr>
  </w:style>
  <w:style w:type="character" w:styleId="Hyperlink">
    <w:name w:val="Hyperlink"/>
    <w:basedOn w:val="DefaultParagraphFont"/>
    <w:uiPriority w:val="99"/>
    <w:unhideWhenUsed/>
    <w:rsid w:val="00ED26B9"/>
    <w:rPr>
      <w:color w:val="0000FF" w:themeColor="hyperlink"/>
      <w:u w:val="single"/>
    </w:rPr>
  </w:style>
  <w:style w:type="paragraph" w:styleId="Header">
    <w:name w:val="header"/>
    <w:basedOn w:val="Normal"/>
    <w:link w:val="HeaderChar"/>
    <w:uiPriority w:val="99"/>
    <w:unhideWhenUsed/>
    <w:rsid w:val="00200327"/>
    <w:pPr>
      <w:tabs>
        <w:tab w:val="center" w:pos="4680"/>
        <w:tab w:val="right" w:pos="9360"/>
      </w:tabs>
      <w:spacing w:line="240" w:lineRule="auto"/>
    </w:pPr>
  </w:style>
  <w:style w:type="character" w:customStyle="1" w:styleId="HeaderChar">
    <w:name w:val="Header Char"/>
    <w:basedOn w:val="DefaultParagraphFont"/>
    <w:link w:val="Header"/>
    <w:uiPriority w:val="99"/>
    <w:rsid w:val="00200327"/>
  </w:style>
  <w:style w:type="paragraph" w:styleId="Footer">
    <w:name w:val="footer"/>
    <w:basedOn w:val="Normal"/>
    <w:link w:val="FooterChar"/>
    <w:uiPriority w:val="99"/>
    <w:unhideWhenUsed/>
    <w:rsid w:val="00200327"/>
    <w:pPr>
      <w:tabs>
        <w:tab w:val="center" w:pos="4680"/>
        <w:tab w:val="right" w:pos="9360"/>
      </w:tabs>
      <w:spacing w:line="240" w:lineRule="auto"/>
    </w:pPr>
  </w:style>
  <w:style w:type="character" w:customStyle="1" w:styleId="FooterChar">
    <w:name w:val="Footer Char"/>
    <w:basedOn w:val="DefaultParagraphFont"/>
    <w:link w:val="Footer"/>
    <w:uiPriority w:val="99"/>
    <w:rsid w:val="00200327"/>
  </w:style>
  <w:style w:type="paragraph" w:styleId="BalloonText">
    <w:name w:val="Balloon Text"/>
    <w:basedOn w:val="Normal"/>
    <w:link w:val="BalloonTextChar"/>
    <w:uiPriority w:val="99"/>
    <w:semiHidden/>
    <w:unhideWhenUsed/>
    <w:rsid w:val="002003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27"/>
    <w:rPr>
      <w:rFonts w:ascii="Tahoma" w:hAnsi="Tahoma" w:cs="Tahoma"/>
      <w:sz w:val="16"/>
      <w:szCs w:val="16"/>
    </w:rPr>
  </w:style>
  <w:style w:type="character" w:styleId="Emphasis">
    <w:name w:val="Emphasis"/>
    <w:basedOn w:val="DefaultParagraphFont"/>
    <w:uiPriority w:val="20"/>
    <w:qFormat/>
    <w:rsid w:val="00AC54AB"/>
    <w:rPr>
      <w:i/>
      <w:iCs/>
    </w:rPr>
  </w:style>
  <w:style w:type="character" w:customStyle="1" w:styleId="costarpage">
    <w:name w:val="co_starpage"/>
    <w:basedOn w:val="DefaultParagraphFont"/>
    <w:rsid w:val="00AC54AB"/>
  </w:style>
  <w:style w:type="character" w:customStyle="1" w:styleId="cohl">
    <w:name w:val="co_hl"/>
    <w:basedOn w:val="DefaultParagraphFont"/>
    <w:rsid w:val="00AE79F3"/>
  </w:style>
  <w:style w:type="character" w:customStyle="1" w:styleId="cosearchwithinterm">
    <w:name w:val="co_searchwithinterm"/>
    <w:basedOn w:val="DefaultParagraphFont"/>
    <w:rsid w:val="0034219B"/>
  </w:style>
  <w:style w:type="character" w:customStyle="1" w:styleId="counderline">
    <w:name w:val="co_underline"/>
    <w:basedOn w:val="DefaultParagraphFont"/>
    <w:rsid w:val="005D2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6287">
      <w:bodyDiv w:val="1"/>
      <w:marLeft w:val="0"/>
      <w:marRight w:val="0"/>
      <w:marTop w:val="0"/>
      <w:marBottom w:val="0"/>
      <w:divBdr>
        <w:top w:val="none" w:sz="0" w:space="0" w:color="auto"/>
        <w:left w:val="none" w:sz="0" w:space="0" w:color="auto"/>
        <w:bottom w:val="none" w:sz="0" w:space="0" w:color="auto"/>
        <w:right w:val="none" w:sz="0" w:space="0" w:color="auto"/>
      </w:divBdr>
      <w:divsChild>
        <w:div w:id="1278373696">
          <w:marLeft w:val="0"/>
          <w:marRight w:val="0"/>
          <w:marTop w:val="0"/>
          <w:marBottom w:val="0"/>
          <w:divBdr>
            <w:top w:val="none" w:sz="0" w:space="0" w:color="auto"/>
            <w:left w:val="none" w:sz="0" w:space="0" w:color="auto"/>
            <w:bottom w:val="none" w:sz="0" w:space="0" w:color="auto"/>
            <w:right w:val="none" w:sz="0" w:space="0" w:color="auto"/>
          </w:divBdr>
          <w:divsChild>
            <w:div w:id="104667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5868">
      <w:bodyDiv w:val="1"/>
      <w:marLeft w:val="0"/>
      <w:marRight w:val="0"/>
      <w:marTop w:val="0"/>
      <w:marBottom w:val="0"/>
      <w:divBdr>
        <w:top w:val="none" w:sz="0" w:space="0" w:color="auto"/>
        <w:left w:val="none" w:sz="0" w:space="0" w:color="auto"/>
        <w:bottom w:val="none" w:sz="0" w:space="0" w:color="auto"/>
        <w:right w:val="none" w:sz="0" w:space="0" w:color="auto"/>
      </w:divBdr>
      <w:divsChild>
        <w:div w:id="518935421">
          <w:marLeft w:val="0"/>
          <w:marRight w:val="0"/>
          <w:marTop w:val="0"/>
          <w:marBottom w:val="0"/>
          <w:divBdr>
            <w:top w:val="none" w:sz="0" w:space="0" w:color="auto"/>
            <w:left w:val="none" w:sz="0" w:space="0" w:color="auto"/>
            <w:bottom w:val="none" w:sz="0" w:space="0" w:color="auto"/>
            <w:right w:val="none" w:sz="0" w:space="0" w:color="auto"/>
          </w:divBdr>
          <w:divsChild>
            <w:div w:id="1840848665">
              <w:marLeft w:val="0"/>
              <w:marRight w:val="0"/>
              <w:marTop w:val="0"/>
              <w:marBottom w:val="0"/>
              <w:divBdr>
                <w:top w:val="none" w:sz="0" w:space="0" w:color="auto"/>
                <w:left w:val="none" w:sz="0" w:space="0" w:color="auto"/>
                <w:bottom w:val="none" w:sz="0" w:space="0" w:color="auto"/>
                <w:right w:val="none" w:sz="0" w:space="0" w:color="auto"/>
              </w:divBdr>
              <w:divsChild>
                <w:div w:id="1794592249">
                  <w:marLeft w:val="0"/>
                  <w:marRight w:val="0"/>
                  <w:marTop w:val="0"/>
                  <w:marBottom w:val="0"/>
                  <w:divBdr>
                    <w:top w:val="none" w:sz="0" w:space="0" w:color="auto"/>
                    <w:left w:val="none" w:sz="0" w:space="0" w:color="auto"/>
                    <w:bottom w:val="none" w:sz="0" w:space="0" w:color="auto"/>
                    <w:right w:val="none" w:sz="0" w:space="0" w:color="auto"/>
                  </w:divBdr>
                </w:div>
              </w:divsChild>
            </w:div>
            <w:div w:id="1899437753">
              <w:marLeft w:val="0"/>
              <w:marRight w:val="0"/>
              <w:marTop w:val="240"/>
              <w:marBottom w:val="0"/>
              <w:divBdr>
                <w:top w:val="none" w:sz="0" w:space="0" w:color="auto"/>
                <w:left w:val="none" w:sz="0" w:space="0" w:color="auto"/>
                <w:bottom w:val="none" w:sz="0" w:space="0" w:color="auto"/>
                <w:right w:val="none" w:sz="0" w:space="0" w:color="auto"/>
              </w:divBdr>
              <w:divsChild>
                <w:div w:id="4594402">
                  <w:marLeft w:val="0"/>
                  <w:marRight w:val="0"/>
                  <w:marTop w:val="0"/>
                  <w:marBottom w:val="0"/>
                  <w:divBdr>
                    <w:top w:val="none" w:sz="0" w:space="0" w:color="auto"/>
                    <w:left w:val="none" w:sz="0" w:space="0" w:color="auto"/>
                    <w:bottom w:val="none" w:sz="0" w:space="0" w:color="auto"/>
                    <w:right w:val="none" w:sz="0" w:space="0" w:color="auto"/>
                  </w:divBdr>
                </w:div>
              </w:divsChild>
            </w:div>
            <w:div w:id="209272332">
              <w:marLeft w:val="0"/>
              <w:marRight w:val="0"/>
              <w:marTop w:val="240"/>
              <w:marBottom w:val="0"/>
              <w:divBdr>
                <w:top w:val="none" w:sz="0" w:space="0" w:color="auto"/>
                <w:left w:val="none" w:sz="0" w:space="0" w:color="auto"/>
                <w:bottom w:val="none" w:sz="0" w:space="0" w:color="auto"/>
                <w:right w:val="none" w:sz="0" w:space="0" w:color="auto"/>
              </w:divBdr>
              <w:divsChild>
                <w:div w:id="1056977900">
                  <w:marLeft w:val="0"/>
                  <w:marRight w:val="0"/>
                  <w:marTop w:val="0"/>
                  <w:marBottom w:val="0"/>
                  <w:divBdr>
                    <w:top w:val="none" w:sz="0" w:space="0" w:color="auto"/>
                    <w:left w:val="none" w:sz="0" w:space="0" w:color="auto"/>
                    <w:bottom w:val="none" w:sz="0" w:space="0" w:color="auto"/>
                    <w:right w:val="none" w:sz="0" w:space="0" w:color="auto"/>
                  </w:divBdr>
                </w:div>
              </w:divsChild>
            </w:div>
            <w:div w:id="1940868654">
              <w:marLeft w:val="0"/>
              <w:marRight w:val="0"/>
              <w:marTop w:val="240"/>
              <w:marBottom w:val="0"/>
              <w:divBdr>
                <w:top w:val="none" w:sz="0" w:space="0" w:color="auto"/>
                <w:left w:val="none" w:sz="0" w:space="0" w:color="auto"/>
                <w:bottom w:val="none" w:sz="0" w:space="0" w:color="auto"/>
                <w:right w:val="none" w:sz="0" w:space="0" w:color="auto"/>
              </w:divBdr>
            </w:div>
            <w:div w:id="168967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17343">
      <w:bodyDiv w:val="1"/>
      <w:marLeft w:val="0"/>
      <w:marRight w:val="0"/>
      <w:marTop w:val="0"/>
      <w:marBottom w:val="0"/>
      <w:divBdr>
        <w:top w:val="none" w:sz="0" w:space="0" w:color="auto"/>
        <w:left w:val="none" w:sz="0" w:space="0" w:color="auto"/>
        <w:bottom w:val="none" w:sz="0" w:space="0" w:color="auto"/>
        <w:right w:val="none" w:sz="0" w:space="0" w:color="auto"/>
      </w:divBdr>
      <w:divsChild>
        <w:div w:id="299700212">
          <w:marLeft w:val="0"/>
          <w:marRight w:val="0"/>
          <w:marTop w:val="0"/>
          <w:marBottom w:val="0"/>
          <w:divBdr>
            <w:top w:val="none" w:sz="0" w:space="0" w:color="auto"/>
            <w:left w:val="none" w:sz="0" w:space="0" w:color="auto"/>
            <w:bottom w:val="none" w:sz="0" w:space="0" w:color="auto"/>
            <w:right w:val="none" w:sz="0" w:space="0" w:color="auto"/>
          </w:divBdr>
          <w:divsChild>
            <w:div w:id="826898151">
              <w:marLeft w:val="0"/>
              <w:marRight w:val="0"/>
              <w:marTop w:val="240"/>
              <w:marBottom w:val="0"/>
              <w:divBdr>
                <w:top w:val="none" w:sz="0" w:space="0" w:color="auto"/>
                <w:left w:val="none" w:sz="0" w:space="0" w:color="auto"/>
                <w:bottom w:val="none" w:sz="0" w:space="0" w:color="auto"/>
                <w:right w:val="none" w:sz="0" w:space="0" w:color="auto"/>
              </w:divBdr>
              <w:divsChild>
                <w:div w:id="1658076255">
                  <w:marLeft w:val="0"/>
                  <w:marRight w:val="0"/>
                  <w:marTop w:val="0"/>
                  <w:marBottom w:val="0"/>
                  <w:divBdr>
                    <w:top w:val="none" w:sz="0" w:space="0" w:color="auto"/>
                    <w:left w:val="none" w:sz="0" w:space="0" w:color="auto"/>
                    <w:bottom w:val="none" w:sz="0" w:space="0" w:color="auto"/>
                    <w:right w:val="none" w:sz="0" w:space="0" w:color="auto"/>
                  </w:divBdr>
                </w:div>
              </w:divsChild>
            </w:div>
            <w:div w:id="917321589">
              <w:marLeft w:val="0"/>
              <w:marRight w:val="0"/>
              <w:marTop w:val="0"/>
              <w:marBottom w:val="0"/>
              <w:divBdr>
                <w:top w:val="none" w:sz="0" w:space="0" w:color="auto"/>
                <w:left w:val="none" w:sz="0" w:space="0" w:color="auto"/>
                <w:bottom w:val="none" w:sz="0" w:space="0" w:color="auto"/>
                <w:right w:val="none" w:sz="0" w:space="0" w:color="auto"/>
              </w:divBdr>
            </w:div>
            <w:div w:id="1004208804">
              <w:marLeft w:val="0"/>
              <w:marRight w:val="0"/>
              <w:marTop w:val="240"/>
              <w:marBottom w:val="0"/>
              <w:divBdr>
                <w:top w:val="none" w:sz="0" w:space="0" w:color="auto"/>
                <w:left w:val="none" w:sz="0" w:space="0" w:color="auto"/>
                <w:bottom w:val="none" w:sz="0" w:space="0" w:color="auto"/>
                <w:right w:val="none" w:sz="0" w:space="0" w:color="auto"/>
              </w:divBdr>
              <w:divsChild>
                <w:div w:id="666592341">
                  <w:marLeft w:val="0"/>
                  <w:marRight w:val="0"/>
                  <w:marTop w:val="0"/>
                  <w:marBottom w:val="0"/>
                  <w:divBdr>
                    <w:top w:val="none" w:sz="0" w:space="0" w:color="auto"/>
                    <w:left w:val="none" w:sz="0" w:space="0" w:color="auto"/>
                    <w:bottom w:val="none" w:sz="0" w:space="0" w:color="auto"/>
                    <w:right w:val="none" w:sz="0" w:space="0" w:color="auto"/>
                  </w:divBdr>
                </w:div>
              </w:divsChild>
            </w:div>
            <w:div w:id="1565488964">
              <w:marLeft w:val="0"/>
              <w:marRight w:val="0"/>
              <w:marTop w:val="0"/>
              <w:marBottom w:val="0"/>
              <w:divBdr>
                <w:top w:val="none" w:sz="0" w:space="0" w:color="auto"/>
                <w:left w:val="none" w:sz="0" w:space="0" w:color="auto"/>
                <w:bottom w:val="none" w:sz="0" w:space="0" w:color="auto"/>
                <w:right w:val="none" w:sz="0" w:space="0" w:color="auto"/>
              </w:divBdr>
              <w:divsChild>
                <w:div w:id="16925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80742">
      <w:bodyDiv w:val="1"/>
      <w:marLeft w:val="0"/>
      <w:marRight w:val="0"/>
      <w:marTop w:val="0"/>
      <w:marBottom w:val="0"/>
      <w:divBdr>
        <w:top w:val="none" w:sz="0" w:space="0" w:color="auto"/>
        <w:left w:val="none" w:sz="0" w:space="0" w:color="auto"/>
        <w:bottom w:val="none" w:sz="0" w:space="0" w:color="auto"/>
        <w:right w:val="none" w:sz="0" w:space="0" w:color="auto"/>
      </w:divBdr>
      <w:divsChild>
        <w:div w:id="478114941">
          <w:marLeft w:val="0"/>
          <w:marRight w:val="0"/>
          <w:marTop w:val="0"/>
          <w:marBottom w:val="0"/>
          <w:divBdr>
            <w:top w:val="none" w:sz="0" w:space="0" w:color="auto"/>
            <w:left w:val="none" w:sz="0" w:space="0" w:color="auto"/>
            <w:bottom w:val="none" w:sz="0" w:space="0" w:color="auto"/>
            <w:right w:val="none" w:sz="0" w:space="0" w:color="auto"/>
          </w:divBdr>
        </w:div>
      </w:divsChild>
    </w:div>
    <w:div w:id="138886770">
      <w:bodyDiv w:val="1"/>
      <w:marLeft w:val="0"/>
      <w:marRight w:val="0"/>
      <w:marTop w:val="0"/>
      <w:marBottom w:val="0"/>
      <w:divBdr>
        <w:top w:val="none" w:sz="0" w:space="0" w:color="auto"/>
        <w:left w:val="none" w:sz="0" w:space="0" w:color="auto"/>
        <w:bottom w:val="none" w:sz="0" w:space="0" w:color="auto"/>
        <w:right w:val="none" w:sz="0" w:space="0" w:color="auto"/>
      </w:divBdr>
      <w:divsChild>
        <w:div w:id="1751924554">
          <w:marLeft w:val="0"/>
          <w:marRight w:val="0"/>
          <w:marTop w:val="0"/>
          <w:marBottom w:val="0"/>
          <w:divBdr>
            <w:top w:val="none" w:sz="0" w:space="0" w:color="auto"/>
            <w:left w:val="none" w:sz="0" w:space="0" w:color="auto"/>
            <w:bottom w:val="none" w:sz="0" w:space="0" w:color="auto"/>
            <w:right w:val="none" w:sz="0" w:space="0" w:color="auto"/>
          </w:divBdr>
          <w:divsChild>
            <w:div w:id="21241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07463">
      <w:bodyDiv w:val="1"/>
      <w:marLeft w:val="0"/>
      <w:marRight w:val="0"/>
      <w:marTop w:val="0"/>
      <w:marBottom w:val="0"/>
      <w:divBdr>
        <w:top w:val="none" w:sz="0" w:space="0" w:color="auto"/>
        <w:left w:val="none" w:sz="0" w:space="0" w:color="auto"/>
        <w:bottom w:val="none" w:sz="0" w:space="0" w:color="auto"/>
        <w:right w:val="none" w:sz="0" w:space="0" w:color="auto"/>
      </w:divBdr>
    </w:div>
    <w:div w:id="438644357">
      <w:bodyDiv w:val="1"/>
      <w:marLeft w:val="0"/>
      <w:marRight w:val="0"/>
      <w:marTop w:val="0"/>
      <w:marBottom w:val="0"/>
      <w:divBdr>
        <w:top w:val="none" w:sz="0" w:space="0" w:color="auto"/>
        <w:left w:val="none" w:sz="0" w:space="0" w:color="auto"/>
        <w:bottom w:val="none" w:sz="0" w:space="0" w:color="auto"/>
        <w:right w:val="none" w:sz="0" w:space="0" w:color="auto"/>
      </w:divBdr>
      <w:divsChild>
        <w:div w:id="1492216847">
          <w:marLeft w:val="0"/>
          <w:marRight w:val="0"/>
          <w:marTop w:val="0"/>
          <w:marBottom w:val="0"/>
          <w:divBdr>
            <w:top w:val="none" w:sz="0" w:space="0" w:color="auto"/>
            <w:left w:val="none" w:sz="0" w:space="0" w:color="auto"/>
            <w:bottom w:val="none" w:sz="0" w:space="0" w:color="auto"/>
            <w:right w:val="none" w:sz="0" w:space="0" w:color="auto"/>
          </w:divBdr>
          <w:divsChild>
            <w:div w:id="1756435395">
              <w:marLeft w:val="0"/>
              <w:marRight w:val="0"/>
              <w:marTop w:val="0"/>
              <w:marBottom w:val="0"/>
              <w:divBdr>
                <w:top w:val="none" w:sz="0" w:space="0" w:color="auto"/>
                <w:left w:val="none" w:sz="0" w:space="0" w:color="auto"/>
                <w:bottom w:val="none" w:sz="0" w:space="0" w:color="auto"/>
                <w:right w:val="none" w:sz="0" w:space="0" w:color="auto"/>
              </w:divBdr>
              <w:divsChild>
                <w:div w:id="1552572632">
                  <w:marLeft w:val="0"/>
                  <w:marRight w:val="0"/>
                  <w:marTop w:val="0"/>
                  <w:marBottom w:val="0"/>
                  <w:divBdr>
                    <w:top w:val="none" w:sz="0" w:space="0" w:color="auto"/>
                    <w:left w:val="none" w:sz="0" w:space="0" w:color="auto"/>
                    <w:bottom w:val="none" w:sz="0" w:space="0" w:color="auto"/>
                    <w:right w:val="none" w:sz="0" w:space="0" w:color="auto"/>
                  </w:divBdr>
                </w:div>
              </w:divsChild>
            </w:div>
            <w:div w:id="1462919171">
              <w:marLeft w:val="0"/>
              <w:marRight w:val="0"/>
              <w:marTop w:val="240"/>
              <w:marBottom w:val="0"/>
              <w:divBdr>
                <w:top w:val="none" w:sz="0" w:space="0" w:color="auto"/>
                <w:left w:val="none" w:sz="0" w:space="0" w:color="auto"/>
                <w:bottom w:val="none" w:sz="0" w:space="0" w:color="auto"/>
                <w:right w:val="none" w:sz="0" w:space="0" w:color="auto"/>
              </w:divBdr>
              <w:divsChild>
                <w:div w:id="787889539">
                  <w:marLeft w:val="0"/>
                  <w:marRight w:val="0"/>
                  <w:marTop w:val="0"/>
                  <w:marBottom w:val="0"/>
                  <w:divBdr>
                    <w:top w:val="none" w:sz="0" w:space="0" w:color="auto"/>
                    <w:left w:val="none" w:sz="0" w:space="0" w:color="auto"/>
                    <w:bottom w:val="none" w:sz="0" w:space="0" w:color="auto"/>
                    <w:right w:val="none" w:sz="0" w:space="0" w:color="auto"/>
                  </w:divBdr>
                </w:div>
              </w:divsChild>
            </w:div>
            <w:div w:id="45183570">
              <w:marLeft w:val="0"/>
              <w:marRight w:val="0"/>
              <w:marTop w:val="240"/>
              <w:marBottom w:val="0"/>
              <w:divBdr>
                <w:top w:val="none" w:sz="0" w:space="0" w:color="auto"/>
                <w:left w:val="none" w:sz="0" w:space="0" w:color="auto"/>
                <w:bottom w:val="none" w:sz="0" w:space="0" w:color="auto"/>
                <w:right w:val="none" w:sz="0" w:space="0" w:color="auto"/>
              </w:divBdr>
              <w:divsChild>
                <w:div w:id="101342695">
                  <w:marLeft w:val="0"/>
                  <w:marRight w:val="0"/>
                  <w:marTop w:val="0"/>
                  <w:marBottom w:val="0"/>
                  <w:divBdr>
                    <w:top w:val="none" w:sz="0" w:space="0" w:color="auto"/>
                    <w:left w:val="none" w:sz="0" w:space="0" w:color="auto"/>
                    <w:bottom w:val="none" w:sz="0" w:space="0" w:color="auto"/>
                    <w:right w:val="none" w:sz="0" w:space="0" w:color="auto"/>
                  </w:divBdr>
                </w:div>
              </w:divsChild>
            </w:div>
            <w:div w:id="133576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54911">
      <w:bodyDiv w:val="1"/>
      <w:marLeft w:val="0"/>
      <w:marRight w:val="0"/>
      <w:marTop w:val="0"/>
      <w:marBottom w:val="0"/>
      <w:divBdr>
        <w:top w:val="none" w:sz="0" w:space="0" w:color="auto"/>
        <w:left w:val="none" w:sz="0" w:space="0" w:color="auto"/>
        <w:bottom w:val="none" w:sz="0" w:space="0" w:color="auto"/>
        <w:right w:val="none" w:sz="0" w:space="0" w:color="auto"/>
      </w:divBdr>
      <w:divsChild>
        <w:div w:id="2050689893">
          <w:marLeft w:val="0"/>
          <w:marRight w:val="0"/>
          <w:marTop w:val="0"/>
          <w:marBottom w:val="0"/>
          <w:divBdr>
            <w:top w:val="none" w:sz="0" w:space="0" w:color="auto"/>
            <w:left w:val="none" w:sz="0" w:space="0" w:color="auto"/>
            <w:bottom w:val="none" w:sz="0" w:space="0" w:color="auto"/>
            <w:right w:val="none" w:sz="0" w:space="0" w:color="auto"/>
          </w:divBdr>
          <w:divsChild>
            <w:div w:id="148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42914">
      <w:bodyDiv w:val="1"/>
      <w:marLeft w:val="0"/>
      <w:marRight w:val="0"/>
      <w:marTop w:val="0"/>
      <w:marBottom w:val="0"/>
      <w:divBdr>
        <w:top w:val="none" w:sz="0" w:space="0" w:color="auto"/>
        <w:left w:val="none" w:sz="0" w:space="0" w:color="auto"/>
        <w:bottom w:val="none" w:sz="0" w:space="0" w:color="auto"/>
        <w:right w:val="none" w:sz="0" w:space="0" w:color="auto"/>
      </w:divBdr>
      <w:divsChild>
        <w:div w:id="1736581780">
          <w:marLeft w:val="0"/>
          <w:marRight w:val="0"/>
          <w:marTop w:val="0"/>
          <w:marBottom w:val="0"/>
          <w:divBdr>
            <w:top w:val="none" w:sz="0" w:space="0" w:color="auto"/>
            <w:left w:val="none" w:sz="0" w:space="0" w:color="auto"/>
            <w:bottom w:val="none" w:sz="0" w:space="0" w:color="auto"/>
            <w:right w:val="none" w:sz="0" w:space="0" w:color="auto"/>
          </w:divBdr>
          <w:divsChild>
            <w:div w:id="143112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66121">
      <w:bodyDiv w:val="1"/>
      <w:marLeft w:val="0"/>
      <w:marRight w:val="0"/>
      <w:marTop w:val="0"/>
      <w:marBottom w:val="0"/>
      <w:divBdr>
        <w:top w:val="none" w:sz="0" w:space="0" w:color="auto"/>
        <w:left w:val="none" w:sz="0" w:space="0" w:color="auto"/>
        <w:bottom w:val="none" w:sz="0" w:space="0" w:color="auto"/>
        <w:right w:val="none" w:sz="0" w:space="0" w:color="auto"/>
      </w:divBdr>
      <w:divsChild>
        <w:div w:id="464274525">
          <w:marLeft w:val="0"/>
          <w:marRight w:val="0"/>
          <w:marTop w:val="0"/>
          <w:marBottom w:val="0"/>
          <w:divBdr>
            <w:top w:val="none" w:sz="0" w:space="0" w:color="auto"/>
            <w:left w:val="none" w:sz="0" w:space="0" w:color="auto"/>
            <w:bottom w:val="none" w:sz="0" w:space="0" w:color="auto"/>
            <w:right w:val="none" w:sz="0" w:space="0" w:color="auto"/>
          </w:divBdr>
          <w:divsChild>
            <w:div w:id="57432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50933">
      <w:bodyDiv w:val="1"/>
      <w:marLeft w:val="0"/>
      <w:marRight w:val="0"/>
      <w:marTop w:val="0"/>
      <w:marBottom w:val="0"/>
      <w:divBdr>
        <w:top w:val="none" w:sz="0" w:space="0" w:color="auto"/>
        <w:left w:val="none" w:sz="0" w:space="0" w:color="auto"/>
        <w:bottom w:val="none" w:sz="0" w:space="0" w:color="auto"/>
        <w:right w:val="none" w:sz="0" w:space="0" w:color="auto"/>
      </w:divBdr>
      <w:divsChild>
        <w:div w:id="155195812">
          <w:marLeft w:val="0"/>
          <w:marRight w:val="0"/>
          <w:marTop w:val="0"/>
          <w:marBottom w:val="0"/>
          <w:divBdr>
            <w:top w:val="none" w:sz="0" w:space="0" w:color="auto"/>
            <w:left w:val="none" w:sz="0" w:space="0" w:color="auto"/>
            <w:bottom w:val="none" w:sz="0" w:space="0" w:color="auto"/>
            <w:right w:val="none" w:sz="0" w:space="0" w:color="auto"/>
          </w:divBdr>
          <w:divsChild>
            <w:div w:id="27448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92208">
      <w:bodyDiv w:val="1"/>
      <w:marLeft w:val="0"/>
      <w:marRight w:val="0"/>
      <w:marTop w:val="0"/>
      <w:marBottom w:val="0"/>
      <w:divBdr>
        <w:top w:val="none" w:sz="0" w:space="0" w:color="auto"/>
        <w:left w:val="none" w:sz="0" w:space="0" w:color="auto"/>
        <w:bottom w:val="none" w:sz="0" w:space="0" w:color="auto"/>
        <w:right w:val="none" w:sz="0" w:space="0" w:color="auto"/>
      </w:divBdr>
      <w:divsChild>
        <w:div w:id="1938780910">
          <w:marLeft w:val="0"/>
          <w:marRight w:val="0"/>
          <w:marTop w:val="0"/>
          <w:marBottom w:val="0"/>
          <w:divBdr>
            <w:top w:val="none" w:sz="0" w:space="0" w:color="auto"/>
            <w:left w:val="none" w:sz="0" w:space="0" w:color="auto"/>
            <w:bottom w:val="none" w:sz="0" w:space="0" w:color="auto"/>
            <w:right w:val="none" w:sz="0" w:space="0" w:color="auto"/>
          </w:divBdr>
          <w:divsChild>
            <w:div w:id="202717530">
              <w:marLeft w:val="0"/>
              <w:marRight w:val="0"/>
              <w:marTop w:val="0"/>
              <w:marBottom w:val="0"/>
              <w:divBdr>
                <w:top w:val="none" w:sz="0" w:space="0" w:color="auto"/>
                <w:left w:val="none" w:sz="0" w:space="0" w:color="auto"/>
                <w:bottom w:val="none" w:sz="0" w:space="0" w:color="auto"/>
                <w:right w:val="none" w:sz="0" w:space="0" w:color="auto"/>
              </w:divBdr>
              <w:divsChild>
                <w:div w:id="1672904349">
                  <w:marLeft w:val="0"/>
                  <w:marRight w:val="0"/>
                  <w:marTop w:val="0"/>
                  <w:marBottom w:val="0"/>
                  <w:divBdr>
                    <w:top w:val="none" w:sz="0" w:space="0" w:color="auto"/>
                    <w:left w:val="none" w:sz="0" w:space="0" w:color="auto"/>
                    <w:bottom w:val="none" w:sz="0" w:space="0" w:color="auto"/>
                    <w:right w:val="none" w:sz="0" w:space="0" w:color="auto"/>
                  </w:divBdr>
                  <w:divsChild>
                    <w:div w:id="16648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92686">
      <w:bodyDiv w:val="1"/>
      <w:marLeft w:val="0"/>
      <w:marRight w:val="0"/>
      <w:marTop w:val="0"/>
      <w:marBottom w:val="0"/>
      <w:divBdr>
        <w:top w:val="none" w:sz="0" w:space="0" w:color="auto"/>
        <w:left w:val="none" w:sz="0" w:space="0" w:color="auto"/>
        <w:bottom w:val="none" w:sz="0" w:space="0" w:color="auto"/>
        <w:right w:val="none" w:sz="0" w:space="0" w:color="auto"/>
      </w:divBdr>
      <w:divsChild>
        <w:div w:id="722561857">
          <w:marLeft w:val="0"/>
          <w:marRight w:val="0"/>
          <w:marTop w:val="0"/>
          <w:marBottom w:val="0"/>
          <w:divBdr>
            <w:top w:val="none" w:sz="0" w:space="0" w:color="auto"/>
            <w:left w:val="none" w:sz="0" w:space="0" w:color="auto"/>
            <w:bottom w:val="none" w:sz="0" w:space="0" w:color="auto"/>
            <w:right w:val="none" w:sz="0" w:space="0" w:color="auto"/>
          </w:divBdr>
          <w:divsChild>
            <w:div w:id="26693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6787">
      <w:bodyDiv w:val="1"/>
      <w:marLeft w:val="0"/>
      <w:marRight w:val="0"/>
      <w:marTop w:val="0"/>
      <w:marBottom w:val="0"/>
      <w:divBdr>
        <w:top w:val="none" w:sz="0" w:space="0" w:color="auto"/>
        <w:left w:val="none" w:sz="0" w:space="0" w:color="auto"/>
        <w:bottom w:val="none" w:sz="0" w:space="0" w:color="auto"/>
        <w:right w:val="none" w:sz="0" w:space="0" w:color="auto"/>
      </w:divBdr>
      <w:divsChild>
        <w:div w:id="991983379">
          <w:marLeft w:val="0"/>
          <w:marRight w:val="0"/>
          <w:marTop w:val="0"/>
          <w:marBottom w:val="0"/>
          <w:divBdr>
            <w:top w:val="none" w:sz="0" w:space="0" w:color="auto"/>
            <w:left w:val="none" w:sz="0" w:space="0" w:color="auto"/>
            <w:bottom w:val="none" w:sz="0" w:space="0" w:color="auto"/>
            <w:right w:val="none" w:sz="0" w:space="0" w:color="auto"/>
          </w:divBdr>
          <w:divsChild>
            <w:div w:id="59620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655447">
      <w:bodyDiv w:val="1"/>
      <w:marLeft w:val="0"/>
      <w:marRight w:val="0"/>
      <w:marTop w:val="0"/>
      <w:marBottom w:val="0"/>
      <w:divBdr>
        <w:top w:val="none" w:sz="0" w:space="0" w:color="auto"/>
        <w:left w:val="none" w:sz="0" w:space="0" w:color="auto"/>
        <w:bottom w:val="none" w:sz="0" w:space="0" w:color="auto"/>
        <w:right w:val="none" w:sz="0" w:space="0" w:color="auto"/>
      </w:divBdr>
      <w:divsChild>
        <w:div w:id="962806757">
          <w:marLeft w:val="0"/>
          <w:marRight w:val="0"/>
          <w:marTop w:val="0"/>
          <w:marBottom w:val="0"/>
          <w:divBdr>
            <w:top w:val="none" w:sz="0" w:space="0" w:color="auto"/>
            <w:left w:val="none" w:sz="0" w:space="0" w:color="auto"/>
            <w:bottom w:val="none" w:sz="0" w:space="0" w:color="auto"/>
            <w:right w:val="none" w:sz="0" w:space="0" w:color="auto"/>
          </w:divBdr>
          <w:divsChild>
            <w:div w:id="6456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7693">
      <w:bodyDiv w:val="1"/>
      <w:marLeft w:val="0"/>
      <w:marRight w:val="0"/>
      <w:marTop w:val="0"/>
      <w:marBottom w:val="0"/>
      <w:divBdr>
        <w:top w:val="none" w:sz="0" w:space="0" w:color="auto"/>
        <w:left w:val="none" w:sz="0" w:space="0" w:color="auto"/>
        <w:bottom w:val="none" w:sz="0" w:space="0" w:color="auto"/>
        <w:right w:val="none" w:sz="0" w:space="0" w:color="auto"/>
      </w:divBdr>
      <w:divsChild>
        <w:div w:id="1379937435">
          <w:marLeft w:val="0"/>
          <w:marRight w:val="0"/>
          <w:marTop w:val="0"/>
          <w:marBottom w:val="0"/>
          <w:divBdr>
            <w:top w:val="none" w:sz="0" w:space="0" w:color="auto"/>
            <w:left w:val="none" w:sz="0" w:space="0" w:color="auto"/>
            <w:bottom w:val="none" w:sz="0" w:space="0" w:color="auto"/>
            <w:right w:val="none" w:sz="0" w:space="0" w:color="auto"/>
          </w:divBdr>
          <w:divsChild>
            <w:div w:id="145424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059331">
      <w:bodyDiv w:val="1"/>
      <w:marLeft w:val="0"/>
      <w:marRight w:val="0"/>
      <w:marTop w:val="0"/>
      <w:marBottom w:val="0"/>
      <w:divBdr>
        <w:top w:val="none" w:sz="0" w:space="0" w:color="auto"/>
        <w:left w:val="none" w:sz="0" w:space="0" w:color="auto"/>
        <w:bottom w:val="none" w:sz="0" w:space="0" w:color="auto"/>
        <w:right w:val="none" w:sz="0" w:space="0" w:color="auto"/>
      </w:divBdr>
      <w:divsChild>
        <w:div w:id="815536038">
          <w:marLeft w:val="0"/>
          <w:marRight w:val="0"/>
          <w:marTop w:val="0"/>
          <w:marBottom w:val="0"/>
          <w:divBdr>
            <w:top w:val="none" w:sz="0" w:space="0" w:color="auto"/>
            <w:left w:val="none" w:sz="0" w:space="0" w:color="auto"/>
            <w:bottom w:val="none" w:sz="0" w:space="0" w:color="auto"/>
            <w:right w:val="none" w:sz="0" w:space="0" w:color="auto"/>
          </w:divBdr>
          <w:divsChild>
            <w:div w:id="156109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6671">
      <w:bodyDiv w:val="1"/>
      <w:marLeft w:val="0"/>
      <w:marRight w:val="0"/>
      <w:marTop w:val="0"/>
      <w:marBottom w:val="0"/>
      <w:divBdr>
        <w:top w:val="none" w:sz="0" w:space="0" w:color="auto"/>
        <w:left w:val="none" w:sz="0" w:space="0" w:color="auto"/>
        <w:bottom w:val="none" w:sz="0" w:space="0" w:color="auto"/>
        <w:right w:val="none" w:sz="0" w:space="0" w:color="auto"/>
      </w:divBdr>
      <w:divsChild>
        <w:div w:id="1697730051">
          <w:marLeft w:val="0"/>
          <w:marRight w:val="0"/>
          <w:marTop w:val="0"/>
          <w:marBottom w:val="0"/>
          <w:divBdr>
            <w:top w:val="none" w:sz="0" w:space="0" w:color="auto"/>
            <w:left w:val="none" w:sz="0" w:space="0" w:color="auto"/>
            <w:bottom w:val="none" w:sz="0" w:space="0" w:color="auto"/>
            <w:right w:val="none" w:sz="0" w:space="0" w:color="auto"/>
          </w:divBdr>
          <w:divsChild>
            <w:div w:id="185421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45023">
      <w:bodyDiv w:val="1"/>
      <w:marLeft w:val="0"/>
      <w:marRight w:val="0"/>
      <w:marTop w:val="0"/>
      <w:marBottom w:val="0"/>
      <w:divBdr>
        <w:top w:val="none" w:sz="0" w:space="0" w:color="auto"/>
        <w:left w:val="none" w:sz="0" w:space="0" w:color="auto"/>
        <w:bottom w:val="none" w:sz="0" w:space="0" w:color="auto"/>
        <w:right w:val="none" w:sz="0" w:space="0" w:color="auto"/>
      </w:divBdr>
      <w:divsChild>
        <w:div w:id="2049990512">
          <w:marLeft w:val="0"/>
          <w:marRight w:val="0"/>
          <w:marTop w:val="0"/>
          <w:marBottom w:val="0"/>
          <w:divBdr>
            <w:top w:val="none" w:sz="0" w:space="0" w:color="auto"/>
            <w:left w:val="none" w:sz="0" w:space="0" w:color="auto"/>
            <w:bottom w:val="none" w:sz="0" w:space="0" w:color="auto"/>
            <w:right w:val="none" w:sz="0" w:space="0" w:color="auto"/>
          </w:divBdr>
          <w:divsChild>
            <w:div w:id="59293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856766">
      <w:bodyDiv w:val="1"/>
      <w:marLeft w:val="0"/>
      <w:marRight w:val="0"/>
      <w:marTop w:val="0"/>
      <w:marBottom w:val="0"/>
      <w:divBdr>
        <w:top w:val="none" w:sz="0" w:space="0" w:color="auto"/>
        <w:left w:val="none" w:sz="0" w:space="0" w:color="auto"/>
        <w:bottom w:val="none" w:sz="0" w:space="0" w:color="auto"/>
        <w:right w:val="none" w:sz="0" w:space="0" w:color="auto"/>
      </w:divBdr>
      <w:divsChild>
        <w:div w:id="1302928088">
          <w:marLeft w:val="0"/>
          <w:marRight w:val="0"/>
          <w:marTop w:val="0"/>
          <w:marBottom w:val="0"/>
          <w:divBdr>
            <w:top w:val="none" w:sz="0" w:space="0" w:color="auto"/>
            <w:left w:val="none" w:sz="0" w:space="0" w:color="auto"/>
            <w:bottom w:val="none" w:sz="0" w:space="0" w:color="auto"/>
            <w:right w:val="none" w:sz="0" w:space="0" w:color="auto"/>
          </w:divBdr>
          <w:divsChild>
            <w:div w:id="116308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166875">
      <w:bodyDiv w:val="1"/>
      <w:marLeft w:val="0"/>
      <w:marRight w:val="0"/>
      <w:marTop w:val="0"/>
      <w:marBottom w:val="0"/>
      <w:divBdr>
        <w:top w:val="none" w:sz="0" w:space="0" w:color="auto"/>
        <w:left w:val="none" w:sz="0" w:space="0" w:color="auto"/>
        <w:bottom w:val="none" w:sz="0" w:space="0" w:color="auto"/>
        <w:right w:val="none" w:sz="0" w:space="0" w:color="auto"/>
      </w:divBdr>
      <w:divsChild>
        <w:div w:id="286469092">
          <w:marLeft w:val="0"/>
          <w:marRight w:val="0"/>
          <w:marTop w:val="0"/>
          <w:marBottom w:val="0"/>
          <w:divBdr>
            <w:top w:val="none" w:sz="0" w:space="0" w:color="auto"/>
            <w:left w:val="none" w:sz="0" w:space="0" w:color="auto"/>
            <w:bottom w:val="none" w:sz="0" w:space="0" w:color="auto"/>
            <w:right w:val="none" w:sz="0" w:space="0" w:color="auto"/>
          </w:divBdr>
          <w:divsChild>
            <w:div w:id="15303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9628">
      <w:bodyDiv w:val="1"/>
      <w:marLeft w:val="0"/>
      <w:marRight w:val="0"/>
      <w:marTop w:val="0"/>
      <w:marBottom w:val="0"/>
      <w:divBdr>
        <w:top w:val="none" w:sz="0" w:space="0" w:color="auto"/>
        <w:left w:val="none" w:sz="0" w:space="0" w:color="auto"/>
        <w:bottom w:val="none" w:sz="0" w:space="0" w:color="auto"/>
        <w:right w:val="none" w:sz="0" w:space="0" w:color="auto"/>
      </w:divBdr>
      <w:divsChild>
        <w:div w:id="509488010">
          <w:marLeft w:val="0"/>
          <w:marRight w:val="0"/>
          <w:marTop w:val="0"/>
          <w:marBottom w:val="0"/>
          <w:divBdr>
            <w:top w:val="none" w:sz="0" w:space="0" w:color="auto"/>
            <w:left w:val="none" w:sz="0" w:space="0" w:color="auto"/>
            <w:bottom w:val="none" w:sz="0" w:space="0" w:color="auto"/>
            <w:right w:val="none" w:sz="0" w:space="0" w:color="auto"/>
          </w:divBdr>
          <w:divsChild>
            <w:div w:id="147156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1886">
      <w:bodyDiv w:val="1"/>
      <w:marLeft w:val="0"/>
      <w:marRight w:val="0"/>
      <w:marTop w:val="0"/>
      <w:marBottom w:val="0"/>
      <w:divBdr>
        <w:top w:val="none" w:sz="0" w:space="0" w:color="auto"/>
        <w:left w:val="none" w:sz="0" w:space="0" w:color="auto"/>
        <w:bottom w:val="none" w:sz="0" w:space="0" w:color="auto"/>
        <w:right w:val="none" w:sz="0" w:space="0" w:color="auto"/>
      </w:divBdr>
      <w:divsChild>
        <w:div w:id="349911830">
          <w:marLeft w:val="0"/>
          <w:marRight w:val="0"/>
          <w:marTop w:val="0"/>
          <w:marBottom w:val="0"/>
          <w:divBdr>
            <w:top w:val="none" w:sz="0" w:space="0" w:color="auto"/>
            <w:left w:val="none" w:sz="0" w:space="0" w:color="auto"/>
            <w:bottom w:val="none" w:sz="0" w:space="0" w:color="auto"/>
            <w:right w:val="none" w:sz="0" w:space="0" w:color="auto"/>
          </w:divBdr>
          <w:divsChild>
            <w:div w:id="113209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58715">
      <w:bodyDiv w:val="1"/>
      <w:marLeft w:val="0"/>
      <w:marRight w:val="0"/>
      <w:marTop w:val="0"/>
      <w:marBottom w:val="0"/>
      <w:divBdr>
        <w:top w:val="none" w:sz="0" w:space="0" w:color="auto"/>
        <w:left w:val="none" w:sz="0" w:space="0" w:color="auto"/>
        <w:bottom w:val="none" w:sz="0" w:space="0" w:color="auto"/>
        <w:right w:val="none" w:sz="0" w:space="0" w:color="auto"/>
      </w:divBdr>
      <w:divsChild>
        <w:div w:id="1439519956">
          <w:marLeft w:val="0"/>
          <w:marRight w:val="0"/>
          <w:marTop w:val="0"/>
          <w:marBottom w:val="0"/>
          <w:divBdr>
            <w:top w:val="none" w:sz="0" w:space="0" w:color="auto"/>
            <w:left w:val="none" w:sz="0" w:space="0" w:color="auto"/>
            <w:bottom w:val="none" w:sz="0" w:space="0" w:color="auto"/>
            <w:right w:val="none" w:sz="0" w:space="0" w:color="auto"/>
          </w:divBdr>
          <w:divsChild>
            <w:div w:id="7835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5318">
      <w:bodyDiv w:val="1"/>
      <w:marLeft w:val="0"/>
      <w:marRight w:val="0"/>
      <w:marTop w:val="0"/>
      <w:marBottom w:val="0"/>
      <w:divBdr>
        <w:top w:val="none" w:sz="0" w:space="0" w:color="auto"/>
        <w:left w:val="none" w:sz="0" w:space="0" w:color="auto"/>
        <w:bottom w:val="none" w:sz="0" w:space="0" w:color="auto"/>
        <w:right w:val="none" w:sz="0" w:space="0" w:color="auto"/>
      </w:divBdr>
      <w:divsChild>
        <w:div w:id="785588022">
          <w:marLeft w:val="0"/>
          <w:marRight w:val="0"/>
          <w:marTop w:val="0"/>
          <w:marBottom w:val="0"/>
          <w:divBdr>
            <w:top w:val="none" w:sz="0" w:space="0" w:color="auto"/>
            <w:left w:val="none" w:sz="0" w:space="0" w:color="auto"/>
            <w:bottom w:val="none" w:sz="0" w:space="0" w:color="auto"/>
            <w:right w:val="none" w:sz="0" w:space="0" w:color="auto"/>
          </w:divBdr>
          <w:divsChild>
            <w:div w:id="110061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3075">
      <w:bodyDiv w:val="1"/>
      <w:marLeft w:val="0"/>
      <w:marRight w:val="0"/>
      <w:marTop w:val="0"/>
      <w:marBottom w:val="0"/>
      <w:divBdr>
        <w:top w:val="none" w:sz="0" w:space="0" w:color="auto"/>
        <w:left w:val="none" w:sz="0" w:space="0" w:color="auto"/>
        <w:bottom w:val="none" w:sz="0" w:space="0" w:color="auto"/>
        <w:right w:val="none" w:sz="0" w:space="0" w:color="auto"/>
      </w:divBdr>
      <w:divsChild>
        <w:div w:id="1148353147">
          <w:marLeft w:val="0"/>
          <w:marRight w:val="0"/>
          <w:marTop w:val="0"/>
          <w:marBottom w:val="0"/>
          <w:divBdr>
            <w:top w:val="none" w:sz="0" w:space="0" w:color="auto"/>
            <w:left w:val="none" w:sz="0" w:space="0" w:color="auto"/>
            <w:bottom w:val="none" w:sz="0" w:space="0" w:color="auto"/>
            <w:right w:val="none" w:sz="0" w:space="0" w:color="auto"/>
          </w:divBdr>
        </w:div>
      </w:divsChild>
    </w:div>
    <w:div w:id="1836073195">
      <w:bodyDiv w:val="1"/>
      <w:marLeft w:val="0"/>
      <w:marRight w:val="0"/>
      <w:marTop w:val="0"/>
      <w:marBottom w:val="0"/>
      <w:divBdr>
        <w:top w:val="none" w:sz="0" w:space="0" w:color="auto"/>
        <w:left w:val="none" w:sz="0" w:space="0" w:color="auto"/>
        <w:bottom w:val="none" w:sz="0" w:space="0" w:color="auto"/>
        <w:right w:val="none" w:sz="0" w:space="0" w:color="auto"/>
      </w:divBdr>
      <w:divsChild>
        <w:div w:id="254825184">
          <w:marLeft w:val="0"/>
          <w:marRight w:val="0"/>
          <w:marTop w:val="0"/>
          <w:marBottom w:val="0"/>
          <w:divBdr>
            <w:top w:val="none" w:sz="0" w:space="0" w:color="auto"/>
            <w:left w:val="none" w:sz="0" w:space="0" w:color="auto"/>
            <w:bottom w:val="none" w:sz="0" w:space="0" w:color="auto"/>
            <w:right w:val="none" w:sz="0" w:space="0" w:color="auto"/>
          </w:divBdr>
          <w:divsChild>
            <w:div w:id="19374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5510">
      <w:bodyDiv w:val="1"/>
      <w:marLeft w:val="0"/>
      <w:marRight w:val="0"/>
      <w:marTop w:val="0"/>
      <w:marBottom w:val="0"/>
      <w:divBdr>
        <w:top w:val="none" w:sz="0" w:space="0" w:color="auto"/>
        <w:left w:val="none" w:sz="0" w:space="0" w:color="auto"/>
        <w:bottom w:val="none" w:sz="0" w:space="0" w:color="auto"/>
        <w:right w:val="none" w:sz="0" w:space="0" w:color="auto"/>
      </w:divBdr>
      <w:divsChild>
        <w:div w:id="130488693">
          <w:marLeft w:val="0"/>
          <w:marRight w:val="0"/>
          <w:marTop w:val="0"/>
          <w:marBottom w:val="0"/>
          <w:divBdr>
            <w:top w:val="none" w:sz="0" w:space="0" w:color="auto"/>
            <w:left w:val="none" w:sz="0" w:space="0" w:color="auto"/>
            <w:bottom w:val="none" w:sz="0" w:space="0" w:color="auto"/>
            <w:right w:val="none" w:sz="0" w:space="0" w:color="auto"/>
          </w:divBdr>
          <w:divsChild>
            <w:div w:id="2139103551">
              <w:marLeft w:val="0"/>
              <w:marRight w:val="0"/>
              <w:marTop w:val="0"/>
              <w:marBottom w:val="0"/>
              <w:divBdr>
                <w:top w:val="none" w:sz="0" w:space="0" w:color="auto"/>
                <w:left w:val="none" w:sz="0" w:space="0" w:color="auto"/>
                <w:bottom w:val="none" w:sz="0" w:space="0" w:color="auto"/>
                <w:right w:val="none" w:sz="0" w:space="0" w:color="auto"/>
              </w:divBdr>
            </w:div>
          </w:divsChild>
        </w:div>
        <w:div w:id="584725865">
          <w:marLeft w:val="0"/>
          <w:marRight w:val="0"/>
          <w:marTop w:val="0"/>
          <w:marBottom w:val="0"/>
          <w:divBdr>
            <w:top w:val="none" w:sz="0" w:space="0" w:color="auto"/>
            <w:left w:val="none" w:sz="0" w:space="0" w:color="auto"/>
            <w:bottom w:val="none" w:sz="0" w:space="0" w:color="auto"/>
            <w:right w:val="none" w:sz="0" w:space="0" w:color="auto"/>
          </w:divBdr>
          <w:divsChild>
            <w:div w:id="783882826">
              <w:marLeft w:val="0"/>
              <w:marRight w:val="0"/>
              <w:marTop w:val="0"/>
              <w:marBottom w:val="0"/>
              <w:divBdr>
                <w:top w:val="none" w:sz="0" w:space="0" w:color="auto"/>
                <w:left w:val="none" w:sz="0" w:space="0" w:color="auto"/>
                <w:bottom w:val="none" w:sz="0" w:space="0" w:color="auto"/>
                <w:right w:val="none" w:sz="0" w:space="0" w:color="auto"/>
              </w:divBdr>
            </w:div>
          </w:divsChild>
        </w:div>
        <w:div w:id="1972899393">
          <w:marLeft w:val="0"/>
          <w:marRight w:val="0"/>
          <w:marTop w:val="0"/>
          <w:marBottom w:val="0"/>
          <w:divBdr>
            <w:top w:val="none" w:sz="0" w:space="0" w:color="auto"/>
            <w:left w:val="none" w:sz="0" w:space="0" w:color="auto"/>
            <w:bottom w:val="none" w:sz="0" w:space="0" w:color="auto"/>
            <w:right w:val="none" w:sz="0" w:space="0" w:color="auto"/>
          </w:divBdr>
          <w:divsChild>
            <w:div w:id="5741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26881">
      <w:bodyDiv w:val="1"/>
      <w:marLeft w:val="0"/>
      <w:marRight w:val="0"/>
      <w:marTop w:val="0"/>
      <w:marBottom w:val="0"/>
      <w:divBdr>
        <w:top w:val="none" w:sz="0" w:space="0" w:color="auto"/>
        <w:left w:val="none" w:sz="0" w:space="0" w:color="auto"/>
        <w:bottom w:val="none" w:sz="0" w:space="0" w:color="auto"/>
        <w:right w:val="none" w:sz="0" w:space="0" w:color="auto"/>
      </w:divBdr>
      <w:divsChild>
        <w:div w:id="2118862292">
          <w:marLeft w:val="0"/>
          <w:marRight w:val="0"/>
          <w:marTop w:val="0"/>
          <w:marBottom w:val="0"/>
          <w:divBdr>
            <w:top w:val="none" w:sz="0" w:space="0" w:color="auto"/>
            <w:left w:val="none" w:sz="0" w:space="0" w:color="auto"/>
            <w:bottom w:val="none" w:sz="0" w:space="0" w:color="auto"/>
            <w:right w:val="none" w:sz="0" w:space="0" w:color="auto"/>
          </w:divBdr>
          <w:divsChild>
            <w:div w:id="1201434187">
              <w:marLeft w:val="0"/>
              <w:marRight w:val="0"/>
              <w:marTop w:val="0"/>
              <w:marBottom w:val="0"/>
              <w:divBdr>
                <w:top w:val="none" w:sz="0" w:space="0" w:color="auto"/>
                <w:left w:val="none" w:sz="0" w:space="0" w:color="auto"/>
                <w:bottom w:val="none" w:sz="0" w:space="0" w:color="auto"/>
                <w:right w:val="none" w:sz="0" w:space="0" w:color="auto"/>
              </w:divBdr>
              <w:divsChild>
                <w:div w:id="748968374">
                  <w:marLeft w:val="0"/>
                  <w:marRight w:val="0"/>
                  <w:marTop w:val="0"/>
                  <w:marBottom w:val="0"/>
                  <w:divBdr>
                    <w:top w:val="none" w:sz="0" w:space="0" w:color="auto"/>
                    <w:left w:val="none" w:sz="0" w:space="0" w:color="auto"/>
                    <w:bottom w:val="none" w:sz="0" w:space="0" w:color="auto"/>
                    <w:right w:val="none" w:sz="0" w:space="0" w:color="auto"/>
                  </w:divBdr>
                  <w:divsChild>
                    <w:div w:id="112519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9252-0F45-4547-A84A-E2AE5C75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4410</Words>
  <Characters>22183</Characters>
  <Application>Microsoft Macintosh Word</Application>
  <DocSecurity>0</DocSecurity>
  <Lines>363</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2012-03-21T12:48:00Z</cp:lastPrinted>
  <dcterms:created xsi:type="dcterms:W3CDTF">2012-04-15T14:07:00Z</dcterms:created>
  <dcterms:modified xsi:type="dcterms:W3CDTF">2012-06-02T13:23:00Z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cbe8588a-2902-4309-a39a-170da0c62005</vt:lpwstr>
  </property>
</Properties>
</file>